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D64F5A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4.2.2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采取保障人员安全的防护措施。（15分）</w:t>
      </w:r>
    </w:p>
    <w:p w14:paraId="012F0BBA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4801"/>
        <w:gridCol w:w="1140"/>
        <w:gridCol w:w="1335"/>
      </w:tblGrid>
      <w:tr w14:paraId="680FA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</w:tcPr>
          <w:p w14:paraId="39CD8F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999" w:type="pct"/>
          </w:tcPr>
          <w:p w14:paraId="6A5662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评价内容</w:t>
            </w:r>
          </w:p>
        </w:tc>
        <w:tc>
          <w:tcPr>
            <w:tcW w:w="712" w:type="pct"/>
          </w:tcPr>
          <w:p w14:paraId="475FD8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评价分值</w:t>
            </w:r>
          </w:p>
        </w:tc>
        <w:tc>
          <w:tcPr>
            <w:tcW w:w="834" w:type="pct"/>
          </w:tcPr>
          <w:p w14:paraId="7C45E14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自评得分</w:t>
            </w:r>
          </w:p>
        </w:tc>
      </w:tr>
      <w:tr w14:paraId="4B16A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  <w:vAlign w:val="center"/>
          </w:tcPr>
          <w:p w14:paraId="6D51387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999" w:type="pct"/>
            <w:vAlign w:val="center"/>
          </w:tcPr>
          <w:p w14:paraId="112E83C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提高阳台、外窗、窗台、防护栏杆等安全防护水平</w:t>
            </w:r>
          </w:p>
        </w:tc>
        <w:tc>
          <w:tcPr>
            <w:tcW w:w="712" w:type="pct"/>
            <w:vAlign w:val="center"/>
          </w:tcPr>
          <w:p w14:paraId="22D0F32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334509198"/>
            <w:placeholder>
              <w:docPart w:val="7B8EE7E6B67E40D4B0169319034AE8E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267C9A26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BBAC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  <w:vAlign w:val="center"/>
          </w:tcPr>
          <w:p w14:paraId="00A84C1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999" w:type="pct"/>
            <w:vAlign w:val="center"/>
          </w:tcPr>
          <w:p w14:paraId="26A5A38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建筑物出入口均设外墙饰面、门窗玻璃意外脱落的防护措施，并与人员通行区域的遮阳、遮风或挡雨措施结合</w:t>
            </w:r>
          </w:p>
        </w:tc>
        <w:tc>
          <w:tcPr>
            <w:tcW w:w="712" w:type="pct"/>
            <w:vAlign w:val="center"/>
          </w:tcPr>
          <w:p w14:paraId="4D9DD4B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773924665"/>
            <w:placeholder>
              <w:docPart w:val="BE7EE90B51954016B00F35D9702875D8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3A710296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704EC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  <w:vAlign w:val="center"/>
          </w:tcPr>
          <w:p w14:paraId="58CBF8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999" w:type="pct"/>
            <w:vAlign w:val="center"/>
          </w:tcPr>
          <w:p w14:paraId="2BEA58F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利用场地或景观形成可降低坠物风险的缓冲区、隔离带</w:t>
            </w:r>
          </w:p>
        </w:tc>
        <w:tc>
          <w:tcPr>
            <w:tcW w:w="712" w:type="pct"/>
            <w:vAlign w:val="center"/>
          </w:tcPr>
          <w:p w14:paraId="47426B5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533331588"/>
            <w:placeholder>
              <w:docPart w:val="5A4607D4EE8D4282ABBA4D3FAA869FF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0DEA47AE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194D1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454" w:type="pct"/>
            <w:gridSpan w:val="2"/>
            <w:vAlign w:val="center"/>
          </w:tcPr>
          <w:p w14:paraId="0F6F43D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合计</w:t>
            </w:r>
          </w:p>
        </w:tc>
        <w:tc>
          <w:tcPr>
            <w:tcW w:w="712" w:type="pct"/>
            <w:vAlign w:val="center"/>
          </w:tcPr>
          <w:p w14:paraId="1162BD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635371405"/>
            <w:placeholder>
              <w:docPart w:val="0970E5F3B7B84D4EB9DC1835C1A4DBC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2BF6EAE3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</w:tbl>
    <w:p w14:paraId="71AAE317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0"/>
        <w:gridCol w:w="4124"/>
      </w:tblGrid>
      <w:tr w14:paraId="5EAAA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74168452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类型</w:t>
            </w:r>
          </w:p>
        </w:tc>
        <w:tc>
          <w:tcPr>
            <w:tcW w:w="2576" w:type="pct"/>
          </w:tcPr>
          <w:p w14:paraId="594A8F4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项目情况</w:t>
            </w:r>
          </w:p>
        </w:tc>
      </w:tr>
      <w:tr w14:paraId="5B6B3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2E1D8472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</w:t>
            </w:r>
            <w:r>
              <w:rPr>
                <w:rFonts w:ascii="Times New Roman" w:hAnsi="Times New Roman" w:eastAsia="宋体" w:cs="Times New Roman"/>
                <w:szCs w:val="21"/>
              </w:rPr>
              <w:t>出入口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的防护措施</w:t>
            </w:r>
          </w:p>
        </w:tc>
        <w:tc>
          <w:tcPr>
            <w:tcW w:w="2576" w:type="pct"/>
          </w:tcPr>
          <w:p w14:paraId="5A1640D6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项目主入口及次入口均结合建筑前场空间进行组织，入口区域与建筑外墙之间保留一定退让距离，主入口至主要通行活动区域约 8m。建筑周边设置绿化区及景观铺装，可减少人员紧贴建筑外立面停留。建筑围护结构设有檐口、窗洞口等构造节点，通过入口前场疏导和建筑构造配合，降低外墙饰面及门窗构件意外脱落对人员通行区域的影响。</w:t>
            </w:r>
          </w:p>
        </w:tc>
      </w:tr>
      <w:tr w14:paraId="05D88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5DF61548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防护措施</w:t>
            </w:r>
            <w:r>
              <w:rPr>
                <w:rFonts w:ascii="Times New Roman" w:hAnsi="Times New Roman" w:eastAsia="宋体" w:cs="Times New Roman"/>
                <w:szCs w:val="21"/>
              </w:rPr>
              <w:t>与其他措施结合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做法</w:t>
            </w:r>
          </w:p>
        </w:tc>
        <w:tc>
          <w:tcPr>
            <w:tcW w:w="2576" w:type="pct"/>
          </w:tcPr>
          <w:p w14:paraId="3947338A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项目安全防护措施与建筑围护结构、场地组织及景观布置结合设置。临空部位设置防护栏杆，外窗、窗台与栏杆整体考虑；出入口区域结合建筑退界、前场铺装、绿化隔离等措施进行安全组织，使安全防护与人员通行、活动流线及景观空间一体化设计。</w:t>
            </w:r>
          </w:p>
        </w:tc>
      </w:tr>
      <w:tr w14:paraId="28D52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05CBA13F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缓冲区</w:t>
            </w:r>
            <w:r>
              <w:rPr>
                <w:rFonts w:ascii="Times New Roman" w:hAnsi="Times New Roman" w:eastAsia="宋体" w:cs="Times New Roman"/>
                <w:szCs w:val="21"/>
              </w:rPr>
              <w:t>和隔离带的形式</w:t>
            </w:r>
          </w:p>
        </w:tc>
        <w:tc>
          <w:tcPr>
            <w:tcW w:w="2576" w:type="pct"/>
          </w:tcPr>
          <w:p w14:paraId="239CF92F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项目利用建筑外墙与主要通行空间之间的退让距离、入口前场铺装、周边绿化带及景观隔离空间，形成可降低坠物风险的缓冲区和隔离带。场地流线将主要人流引导至相对安全区域，避免人员长时间集中停留于建筑立面正下方，提高出入口及建筑周边活动空间的安全性。</w:t>
            </w:r>
          </w:p>
        </w:tc>
      </w:tr>
    </w:tbl>
    <w:p w14:paraId="15419DEA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请对采取何种</w:t>
      </w:r>
      <w:r>
        <w:rPr>
          <w:rFonts w:ascii="Times New Roman" w:hAnsi="Times New Roman" w:eastAsia="宋体" w:cs="Times New Roman"/>
          <w:szCs w:val="21"/>
        </w:rPr>
        <w:t>措施提高安全防护水平</w:t>
      </w:r>
      <w:r>
        <w:rPr>
          <w:rFonts w:hint="eastAsia" w:ascii="Times New Roman" w:hAnsi="Times New Roman" w:eastAsia="宋体" w:cs="Times New Roman"/>
          <w:szCs w:val="21"/>
        </w:rPr>
        <w:t>进行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7781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  <w:jc w:val="center"/>
        </w:trPr>
        <w:tc>
          <w:tcPr>
            <w:tcW w:w="9356" w:type="dxa"/>
          </w:tcPr>
          <w:p w14:paraId="5FF43912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本项目为养老类公共建筑，服务对象包括老年人及周边居民，建筑共 3 层，总高度约 15m。项目在阳台、外窗、窗台及临空部位设置防护措施，提高使用过程中的安全性。根据栏杆详图，项目主要采用玻璃栏杆和不锈钢栏杆两类做法，其中玻璃栏杆高度约 1200mm，上部设 Φ50、2厚304不锈钢扶手，栏板采用 8+1.14PVB+8 夹胶钢化玻璃；不锈钢栏杆高度约 1100mm。外窗窗台高度约 750mm，结合临空部位防护栏杆进行整体设计，降低老年人靠窗、临边活动时的坠落风险。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同时，项目出入口虽未设置独立门斗，但通过入口前场退让、建筑构造节点控制、绿化隔离及景观缓冲空间设置，减少人员在建筑立面下方集中停留的可能。建筑外墙与主要通行活动区域之间保持约 8m 的缓冲距离，并设置绿化区及铺装前场，形成可降低坠物风险的缓冲带和隔离带。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综上，项目从构件防护、入口组织和场地景观三个层面采取了保障人员安全的防护措施，提升了养老类公共建筑的使用安全性。</w:t>
            </w:r>
          </w:p>
        </w:tc>
      </w:tr>
    </w:tbl>
    <w:p w14:paraId="7A798FF5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10A55DF5">
      <w:pPr>
        <w:spacing w:line="32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4A1B3CC7">
      <w:pPr>
        <w:spacing w:line="32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1）阳台</w:t>
      </w:r>
      <w:r>
        <w:rPr>
          <w:rFonts w:ascii="Times New Roman" w:hAnsi="Times New Roman" w:eastAsia="宋体" w:cs="Times New Roman"/>
          <w:szCs w:val="21"/>
        </w:rPr>
        <w:t>、外窗、窗台、防护栏杆设计</w:t>
      </w:r>
      <w:r>
        <w:rPr>
          <w:rFonts w:hint="eastAsia" w:ascii="Times New Roman" w:hAnsi="Times New Roman" w:eastAsia="宋体" w:cs="Times New Roman"/>
          <w:szCs w:val="21"/>
        </w:rPr>
        <w:t>竣工图、建筑出入口</w:t>
      </w:r>
      <w:r>
        <w:rPr>
          <w:rFonts w:ascii="Times New Roman" w:hAnsi="Times New Roman" w:eastAsia="宋体" w:cs="Times New Roman"/>
          <w:szCs w:val="21"/>
        </w:rPr>
        <w:t>安全防护设计图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592C8B7F">
      <w:pPr>
        <w:spacing w:line="32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2）防护栏杆相关检测报告；</w:t>
      </w:r>
    </w:p>
    <w:p w14:paraId="4F611073">
      <w:pPr>
        <w:spacing w:line="320" w:lineRule="exact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3）根据安全防护措施，形成专项报告。</w:t>
      </w:r>
    </w:p>
    <w:p w14:paraId="4911CBA3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D494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2A300CA3"/>
          <w:p w14:paraId="1554CD67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4672330" cy="2586990"/>
                  <wp:effectExtent l="0" t="0" r="0" b="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9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330" cy="258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2405" cy="7802245"/>
                  <wp:effectExtent l="0" t="0" r="63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780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2405" cy="5297170"/>
                  <wp:effectExtent l="0" t="0" r="63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529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20A74FD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484"/>
    <w:rsid w:val="00074A38"/>
    <w:rsid w:val="001407AB"/>
    <w:rsid w:val="008B1ABF"/>
    <w:rsid w:val="00A45484"/>
    <w:rsid w:val="00D72F68"/>
    <w:rsid w:val="00E756D4"/>
    <w:rsid w:val="42AB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15">
    <w:name w:val="样式1"/>
    <w:basedOn w:val="8"/>
    <w:uiPriority w:val="1"/>
    <w:rPr>
      <w:rFonts w:eastAsiaTheme="minorEastAsia"/>
      <w:sz w:val="21"/>
    </w:rPr>
  </w:style>
  <w:style w:type="character" w:customStyle="1" w:styleId="16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B8EE7E6B67E40D4B0169319034AE8E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D7B0165-24FF-4614-BBDF-E929E70EE5B9}"/>
      </w:docPartPr>
      <w:docPartBody>
        <w:p w14:paraId="12F1ACC5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E7EE90B51954016B00F35D9702875D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8A1D8B6-4406-4FDC-AA3A-1F418E30DB9C}"/>
      </w:docPartPr>
      <w:docPartBody>
        <w:p w14:paraId="290F660E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A4607D4EE8D4282ABBA4D3FAA869FF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6FE3AB-DBBD-4FD6-8525-DA40A9DCC6F8}"/>
      </w:docPartPr>
      <w:docPartBody>
        <w:p w14:paraId="5F7006D9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0970E5F3B7B84D4EB9DC1835C1A4DBC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7F8CB8-C330-4CFB-A825-9F6DB8F5C0BB}"/>
      </w:docPartPr>
      <w:docPartBody>
        <w:p w14:paraId="53F13246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C4"/>
    <w:rsid w:val="00482C7B"/>
    <w:rsid w:val="00A27DC4"/>
    <w:rsid w:val="00AD237F"/>
    <w:rsid w:val="00AD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7B8EE7E6B67E40D4B0169319034AE8E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BE7EE90B51954016B00F35D9702875D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5A4607D4EE8D4282ABBA4D3FAA869FF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0970E5F3B7B84D4EB9DC1835C1A4DBC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72A3C945861D482BB78CA13CF4E3101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DF663F9453214CC6A23A156F41A9862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6D7B2318CBF140DE8F6CEFCA40960263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BFBD00A8ED9043D19BC803662D3EEF8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FD5EB711274D4CB3A489B1C1726FC77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293</Words>
  <Characters>299</Characters>
  <Lines>2</Lines>
  <Paragraphs>1</Paragraphs>
  <TotalTime>5</TotalTime>
  <ScaleCrop>false</ScaleCrop>
  <LinksUpToDate>false</LinksUpToDate>
  <CharactersWithSpaces>311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2019-07-12T07:42:00Z</dcterms:created>
  <dc:creator>dongYP</dc:creator>
  <cp:lastModifiedBy>微信用户</cp:lastModifiedBy>
  <dcterms:modified xsi:type="dcterms:W3CDTF">2026-03-26T02:00:27Z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eyJoZGlkIjoiOWYwYTVjODExY2MyMGNjODJhZmNlZmJkODgzMmY1MzAiLCJ1c2VySWQiOiIxMjk0MzU5Mzc5In0=</vt:lpwstr>
  </property>
  <property fmtid="{D5CDD505-2E9C-101B-9397-08002B2CF9AE}" pid="3" name="KSOProductBuildVer">
    <vt:lpwstr>2052-12.1.0.25225</vt:lpwstr>
  </property>
  <property fmtid="{D5CDD505-2E9C-101B-9397-08002B2CF9AE}" pid="4" name="ICV">
    <vt:lpwstr>46C4ABB9ED2A407CA19053FA1BF852CF_12</vt:lpwstr>
  </property>
</Properties>
</file>