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912D">
      <w:pPr>
        <w:pStyle w:val="2"/>
      </w:pPr>
      <w:bookmarkStart w:id="0" w:name="_Toc467687896"/>
      <w:bookmarkStart w:id="1" w:name="_Toc98750683"/>
      <w:bookmarkStart w:id="2" w:name="_Toc103696535"/>
      <w:bookmarkStart w:id="72" w:name="_GoBack"/>
      <w:bookmarkEnd w:id="72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677ED8DA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4C611E2A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20BC2ECF">
      <w:r>
        <w:rPr>
          <w:rFonts w:hint="eastAsia"/>
        </w:rPr>
        <w:t>项目施工图纸及其他资料</w:t>
      </w:r>
    </w:p>
    <w:p w14:paraId="4F271688">
      <w:r>
        <w:rPr>
          <w:rFonts w:hint="eastAsia"/>
        </w:rPr>
        <w:t>项目工程概算清单等</w:t>
      </w:r>
    </w:p>
    <w:p w14:paraId="6FF2BF16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502A59B2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76D8760A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331B63B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083D198E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6C05AA48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2F1929E7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0BA94148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6975B3B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3937B429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53624E7B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bookmarkEnd w:id="3"/>
    </w:p>
    <w:p w14:paraId="787DAFE0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2977</w:t>
      </w:r>
      <w:bookmarkEnd w:id="4"/>
      <w:r>
        <w:rPr>
          <w:rFonts w:hint="eastAsia"/>
        </w:rPr>
        <w:t xml:space="preserve"> ㎡</w:t>
      </w:r>
    </w:p>
    <w:p w14:paraId="7456666B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2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71EE2183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9.00</w:t>
      </w:r>
      <w:bookmarkEnd w:id="7"/>
      <w:r>
        <w:rPr>
          <w:rFonts w:hint="eastAsia"/>
        </w:rPr>
        <w:t xml:space="preserve"> m</w:t>
      </w:r>
    </w:p>
    <w:p w14:paraId="4B7D9869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年</w:t>
      </w:r>
    </w:p>
    <w:p w14:paraId="11FA880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3BB9153D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项目所在地</w:t>
      </w:r>
      <w:r>
        <w:rPr>
          <w:rFonts w:hint="eastAsia"/>
        </w:rPr>
        <w:t>：</w:t>
      </w:r>
      <w:bookmarkStart w:id="10" w:name="工程地点"/>
      <w:r>
        <w:t>辽宁-鞍山</w:t>
      </w:r>
      <w:bookmarkEnd w:id="10"/>
    </w:p>
    <w:p w14:paraId="24436AE4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46B8CA0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2327.306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67692F1B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156.114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7793DB33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11.879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6416E2C1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4CE9AE04">
      <w:pPr>
        <w:ind w:firstLine="0" w:firstLineChars="0"/>
        <w:jc w:val="center"/>
      </w:pPr>
    </w:p>
    <w:p w14:paraId="2F48EF97">
      <w:pPr>
        <w:ind w:firstLine="0" w:firstLineChars="0"/>
        <w:jc w:val="center"/>
      </w:pPr>
    </w:p>
    <w:p w14:paraId="7BFFC8D9">
      <w:pPr>
        <w:ind w:firstLine="0" w:firstLineChars="0"/>
        <w:jc w:val="center"/>
      </w:pPr>
    </w:p>
    <w:p w14:paraId="221C2198">
      <w:pPr>
        <w:ind w:firstLine="0" w:firstLineChars="0"/>
        <w:jc w:val="center"/>
      </w:pPr>
    </w:p>
    <w:p w14:paraId="1303310C">
      <w:pPr>
        <w:ind w:firstLine="0" w:firstLineChars="0"/>
        <w:jc w:val="center"/>
      </w:pPr>
    </w:p>
    <w:p w14:paraId="27114129">
      <w:pPr>
        <w:ind w:firstLine="0" w:firstLineChars="0"/>
        <w:jc w:val="center"/>
      </w:pPr>
    </w:p>
    <w:p w14:paraId="72FC3334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69130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2E6A6FB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64743B9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00A1B3E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noWrap w:val="0"/>
            <w:vAlign w:val="center"/>
          </w:tcPr>
          <w:p w14:paraId="1CD261D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411FA9C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4417B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noWrap w:val="0"/>
            <w:vAlign w:val="center"/>
          </w:tcPr>
          <w:p w14:paraId="7E6026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553FAB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noWrap w:val="0"/>
            <w:vAlign w:val="center"/>
          </w:tcPr>
          <w:p w14:paraId="3A20C15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0.000</w:t>
            </w:r>
            <w:bookmarkEnd w:id="16"/>
          </w:p>
        </w:tc>
        <w:tc>
          <w:tcPr>
            <w:tcW w:w="2552" w:type="dxa"/>
            <w:vMerge w:val="restart"/>
            <w:noWrap w:val="0"/>
            <w:vAlign w:val="center"/>
          </w:tcPr>
          <w:p w14:paraId="481346D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noWrap w:val="0"/>
            <w:vAlign w:val="center"/>
          </w:tcPr>
          <w:p w14:paraId="62C36C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0.000</w:t>
            </w:r>
            <w:bookmarkEnd w:id="18"/>
          </w:p>
        </w:tc>
      </w:tr>
      <w:tr w14:paraId="69EC2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45F929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4EAB04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noWrap w:val="0"/>
            <w:vAlign w:val="center"/>
          </w:tcPr>
          <w:p w14:paraId="0DA320C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1361.982</w:t>
            </w:r>
            <w:bookmarkEnd w:id="19"/>
          </w:p>
        </w:tc>
        <w:tc>
          <w:tcPr>
            <w:tcW w:w="2552" w:type="dxa"/>
            <w:vMerge w:val="continue"/>
            <w:noWrap w:val="0"/>
            <w:vAlign w:val="center"/>
          </w:tcPr>
          <w:p w14:paraId="7C698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noWrap w:val="0"/>
            <w:vAlign w:val="center"/>
          </w:tcPr>
          <w:p w14:paraId="6701EEF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2312.560</w:t>
            </w:r>
            <w:bookmarkEnd w:id="21"/>
          </w:p>
        </w:tc>
      </w:tr>
      <w:tr w14:paraId="79D54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58715A5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0DBBCB0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noWrap w:val="0"/>
            <w:vAlign w:val="center"/>
          </w:tcPr>
          <w:p w14:paraId="0EEDC56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367.330</w:t>
            </w:r>
            <w:bookmarkEnd w:id="22"/>
          </w:p>
        </w:tc>
        <w:tc>
          <w:tcPr>
            <w:tcW w:w="2552" w:type="dxa"/>
            <w:vMerge w:val="continue"/>
            <w:noWrap w:val="0"/>
            <w:vAlign w:val="center"/>
          </w:tcPr>
          <w:p w14:paraId="650C10B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noWrap w:val="0"/>
            <w:vAlign w:val="center"/>
          </w:tcPr>
          <w:p w14:paraId="78CA3EA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623.703</w:t>
            </w:r>
            <w:bookmarkEnd w:id="24"/>
          </w:p>
        </w:tc>
      </w:tr>
      <w:tr w14:paraId="2E642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54A20F9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7C873C2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noWrap w:val="0"/>
            <w:vAlign w:val="center"/>
          </w:tcPr>
          <w:p w14:paraId="77C107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622.921</w:t>
            </w:r>
            <w:bookmarkEnd w:id="25"/>
          </w:p>
        </w:tc>
        <w:tc>
          <w:tcPr>
            <w:tcW w:w="2552" w:type="dxa"/>
            <w:vMerge w:val="continue"/>
            <w:noWrap w:val="0"/>
            <w:vAlign w:val="center"/>
          </w:tcPr>
          <w:p w14:paraId="05A46F9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  <w:noWrap w:val="0"/>
            <w:vAlign w:val="top"/>
          </w:tcPr>
          <w:p w14:paraId="10D897C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1057.681</w:t>
            </w:r>
            <w:bookmarkEnd w:id="27"/>
          </w:p>
        </w:tc>
      </w:tr>
      <w:tr w14:paraId="56920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2EC2531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9FE0B6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noWrap w:val="0"/>
            <w:vAlign w:val="center"/>
          </w:tcPr>
          <w:p w14:paraId="69F3327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616.109</w:t>
            </w:r>
            <w:bookmarkEnd w:id="28"/>
          </w:p>
        </w:tc>
        <w:tc>
          <w:tcPr>
            <w:tcW w:w="2552" w:type="dxa"/>
            <w:vMerge w:val="continue"/>
            <w:noWrap w:val="0"/>
            <w:vAlign w:val="center"/>
          </w:tcPr>
          <w:p w14:paraId="343C929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  <w:noWrap w:val="0"/>
            <w:vAlign w:val="top"/>
          </w:tcPr>
          <w:p w14:paraId="2B433AC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1046.115</w:t>
            </w:r>
            <w:bookmarkEnd w:id="29"/>
          </w:p>
        </w:tc>
      </w:tr>
      <w:tr w14:paraId="1CC5D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08500A3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185A82D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noWrap w:val="0"/>
            <w:vAlign w:val="center"/>
          </w:tcPr>
          <w:p w14:paraId="1B434BA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2411.921</w:t>
            </w:r>
            <w:bookmarkEnd w:id="30"/>
          </w:p>
        </w:tc>
        <w:tc>
          <w:tcPr>
            <w:tcW w:w="2552" w:type="dxa"/>
            <w:vMerge w:val="continue"/>
            <w:noWrap w:val="0"/>
            <w:vAlign w:val="center"/>
          </w:tcPr>
          <w:p w14:paraId="61B9F61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noWrap w:val="0"/>
            <w:vAlign w:val="center"/>
          </w:tcPr>
          <w:p w14:paraId="2C0D14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4095.291</w:t>
            </w:r>
            <w:bookmarkEnd w:id="32"/>
          </w:p>
        </w:tc>
      </w:tr>
      <w:tr w14:paraId="464DD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3D206F7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3764744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60BC4F7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noWrap w:val="0"/>
            <w:vAlign w:val="center"/>
          </w:tcPr>
          <w:p w14:paraId="5BC8B78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4024ABE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7BBA7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noWrap w:val="0"/>
            <w:vAlign w:val="center"/>
          </w:tcPr>
          <w:p w14:paraId="1A9B86D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21959B8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7E496FCA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壁挂炉供热量"/>
            <w:r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552" w:type="dxa"/>
            <w:shd w:val="clear" w:color="auto" w:fill="FFFFFF"/>
            <w:noWrap w:val="0"/>
            <w:vAlign w:val="top"/>
          </w:tcPr>
          <w:p w14:paraId="692CA69A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燃气壁挂炉_燃料CO2排放因子"/>
            <w:r>
              <w:t>55.54</w:t>
            </w:r>
            <w:bookmarkEnd w:id="34"/>
          </w:p>
        </w:tc>
        <w:tc>
          <w:tcPr>
            <w:tcW w:w="2176" w:type="dxa"/>
            <w:shd w:val="clear" w:color="auto" w:fill="FFFFFF"/>
            <w:noWrap w:val="0"/>
            <w:vAlign w:val="top"/>
          </w:tcPr>
          <w:p w14:paraId="6E3A0E9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壁挂炉碳排放"/>
            <w:r>
              <w:t>0.000</w:t>
            </w:r>
            <w:bookmarkEnd w:id="35"/>
          </w:p>
        </w:tc>
      </w:tr>
      <w:tr w14:paraId="4C0B1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noWrap w:val="0"/>
            <w:vAlign w:val="center"/>
          </w:tcPr>
          <w:p w14:paraId="107FBD7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6" w:name="炊事能耗_燃料类型"/>
            <w:r>
              <w:t>燃气</w:t>
            </w:r>
            <w:bookmarkEnd w:id="36"/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F1B425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2883AE2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37" w:name="炊事燃气消耗"/>
            <w:r>
              <w:rPr>
                <w:rFonts w:hint="eastAsia"/>
                <w:sz w:val="18"/>
                <w:szCs w:val="20"/>
              </w:rPr>
              <w:t>0.000</w:t>
            </w:r>
            <w:bookmarkEnd w:id="37"/>
            <w:r>
              <w:rPr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m³/㎡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FFFFFF"/>
            <w:noWrap w:val="0"/>
            <w:vAlign w:val="center"/>
          </w:tcPr>
          <w:p w14:paraId="1CA2246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炊事能耗_燃料CO2排放因子"/>
            <w:r>
              <w:t>55.54</w:t>
            </w:r>
            <w:bookmarkEnd w:id="38"/>
          </w:p>
        </w:tc>
        <w:tc>
          <w:tcPr>
            <w:tcW w:w="2176" w:type="dxa"/>
            <w:shd w:val="clear" w:color="auto" w:fill="FFFFFF"/>
            <w:noWrap w:val="0"/>
            <w:vAlign w:val="center"/>
          </w:tcPr>
          <w:p w14:paraId="24C4D1A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炊事碳排放"/>
            <w:r>
              <w:t>0.000</w:t>
            </w:r>
            <w:bookmarkEnd w:id="39"/>
          </w:p>
        </w:tc>
      </w:tr>
      <w:tr w14:paraId="3199D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64C708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28C6846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noWrap w:val="0"/>
            <w:vAlign w:val="center"/>
          </w:tcPr>
          <w:p w14:paraId="27130A6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02A285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220E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noWrap w:val="0"/>
            <w:vAlign w:val="center"/>
          </w:tcPr>
          <w:p w14:paraId="5FC6920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C9ACDD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noWrap w:val="0"/>
            <w:vAlign w:val="center"/>
          </w:tcPr>
          <w:p w14:paraId="25ECA5E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制冷剂消耗量"/>
            <w:r>
              <w:t>0</w:t>
            </w:r>
            <w:bookmarkEnd w:id="40"/>
          </w:p>
        </w:tc>
        <w:tc>
          <w:tcPr>
            <w:tcW w:w="2176" w:type="dxa"/>
            <w:shd w:val="clear" w:color="auto" w:fill="FFFFFF"/>
            <w:noWrap w:val="0"/>
            <w:vAlign w:val="center"/>
          </w:tcPr>
          <w:p w14:paraId="6352E7E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制冷剂碳排放"/>
            <w:r>
              <w:t>0.000</w:t>
            </w:r>
            <w:bookmarkEnd w:id="41"/>
          </w:p>
        </w:tc>
      </w:tr>
      <w:tr w14:paraId="6DF4B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noWrap w:val="0"/>
            <w:vAlign w:val="center"/>
          </w:tcPr>
          <w:p w14:paraId="636182A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3A3BB6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noWrap w:val="0"/>
            <w:vAlign w:val="center"/>
          </w:tcPr>
          <w:p w14:paraId="27AEC47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noWrap w:val="0"/>
            <w:vAlign w:val="center"/>
          </w:tcPr>
          <w:p w14:paraId="0D43753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noWrap w:val="0"/>
            <w:vAlign w:val="center"/>
          </w:tcPr>
          <w:p w14:paraId="28115DE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04BF5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noWrap w:val="0"/>
            <w:vAlign w:val="center"/>
          </w:tcPr>
          <w:p w14:paraId="3B11E1E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6C2FAD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noWrap w:val="0"/>
            <w:vAlign w:val="center"/>
          </w:tcPr>
          <w:p w14:paraId="298B667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光伏能耗"/>
            <w:r>
              <w:rPr>
                <w:rFonts w:hint="eastAsia"/>
                <w:szCs w:val="21"/>
              </w:rPr>
              <w:t>4659.636</w:t>
            </w:r>
            <w:bookmarkEnd w:id="42"/>
          </w:p>
        </w:tc>
        <w:tc>
          <w:tcPr>
            <w:tcW w:w="2552" w:type="dxa"/>
            <w:vMerge w:val="restart"/>
            <w:noWrap w:val="0"/>
            <w:vAlign w:val="center"/>
          </w:tcPr>
          <w:p w14:paraId="0C8C2C5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电力CO2排放因子7"/>
            <w:r>
              <w:t>0.5703</w:t>
            </w:r>
            <w:bookmarkEnd w:id="43"/>
          </w:p>
        </w:tc>
        <w:tc>
          <w:tcPr>
            <w:tcW w:w="2176" w:type="dxa"/>
            <w:noWrap w:val="0"/>
            <w:vAlign w:val="top"/>
          </w:tcPr>
          <w:p w14:paraId="3C38FC7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光伏能耗_电耗CO2排放"/>
            <w:r>
              <w:t>7911.771</w:t>
            </w:r>
            <w:bookmarkEnd w:id="44"/>
          </w:p>
        </w:tc>
      </w:tr>
      <w:tr w14:paraId="6FF7C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noWrap w:val="0"/>
            <w:vAlign w:val="center"/>
          </w:tcPr>
          <w:p w14:paraId="687F599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3E79F32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noWrap w:val="0"/>
            <w:vAlign w:val="center"/>
          </w:tcPr>
          <w:p w14:paraId="1D030F4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5" w:name="风力能耗"/>
            <w:r>
              <w:rPr>
                <w:rFonts w:hint="eastAsia"/>
                <w:szCs w:val="21"/>
              </w:rPr>
              <w:t>0.000</w:t>
            </w:r>
            <w:bookmarkEnd w:id="45"/>
          </w:p>
        </w:tc>
        <w:tc>
          <w:tcPr>
            <w:tcW w:w="2552" w:type="dxa"/>
            <w:vMerge w:val="continue"/>
            <w:noWrap w:val="0"/>
            <w:vAlign w:val="top"/>
          </w:tcPr>
          <w:p w14:paraId="025EC48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  <w:noWrap w:val="0"/>
            <w:vAlign w:val="top"/>
          </w:tcPr>
          <w:p w14:paraId="47BDEB1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6" w:name="风力能耗_电耗CO2排放"/>
            <w:r>
              <w:t>0.000</w:t>
            </w:r>
            <w:bookmarkEnd w:id="46"/>
          </w:p>
        </w:tc>
      </w:tr>
      <w:tr w14:paraId="25252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noWrap w:val="0"/>
            <w:vAlign w:val="center"/>
          </w:tcPr>
          <w:p w14:paraId="08EDCAE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  <w:noWrap w:val="0"/>
            <w:vAlign w:val="top"/>
          </w:tcPr>
          <w:p w14:paraId="21839C2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7" w:name="设计建筑碳汇tCO2"/>
            <w:r>
              <w:t>0.000</w:t>
            </w:r>
            <w:bookmarkEnd w:id="47"/>
          </w:p>
        </w:tc>
      </w:tr>
      <w:tr w14:paraId="7F7B4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noWrap w:val="0"/>
            <w:vAlign w:val="center"/>
          </w:tcPr>
          <w:p w14:paraId="2971873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  <w:noWrap w:val="0"/>
            <w:vAlign w:val="top"/>
          </w:tcPr>
          <w:p w14:paraId="20CA4AC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8" w:name="建筑总碳排放"/>
            <w:r>
              <w:t>1223.578</w:t>
            </w:r>
            <w:bookmarkEnd w:id="48"/>
          </w:p>
        </w:tc>
        <w:bookmarkStart w:id="49" w:name="建筑总碳排放平米"/>
      </w:tr>
      <w:bookmarkEnd w:id="15"/>
      <w:bookmarkEnd w:id="49"/>
    </w:tbl>
    <w:p w14:paraId="177A89CA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50" w:name="建筑拆除碳排放tCO2"/>
      <w:r>
        <w:t>11.879</w:t>
      </w:r>
      <w:bookmarkEnd w:id="50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3A5D5D84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300F7DAD">
      <w:pPr>
        <w:pStyle w:val="48"/>
      </w:pPr>
      <w:r>
        <w:rPr>
          <w:rFonts w:hint="eastAsia"/>
        </w:rPr>
        <w:t>本项目全生命周期碳排放总量计算结果如下：</w:t>
      </w:r>
    </w:p>
    <w:p w14:paraId="5BF6F7B2"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1EB57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/>
            <w:noWrap w:val="0"/>
            <w:vAlign w:val="center"/>
          </w:tcPr>
          <w:p w14:paraId="745E1F9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/>
            <w:noWrap w:val="0"/>
            <w:vAlign w:val="center"/>
          </w:tcPr>
          <w:p w14:paraId="75019B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/>
            <w:noWrap w:val="0"/>
            <w:vAlign w:val="center"/>
          </w:tcPr>
          <w:p w14:paraId="017698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/>
            <w:noWrap w:val="0"/>
            <w:vAlign w:val="center"/>
          </w:tcPr>
          <w:p w14:paraId="291952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/>
            <w:noWrap w:val="0"/>
            <w:vAlign w:val="center"/>
          </w:tcPr>
          <w:p w14:paraId="340FFA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5FA78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56D0FE4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noWrap w:val="0"/>
            <w:vAlign w:val="center"/>
          </w:tcPr>
          <w:p w14:paraId="36632CD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noWrap w:val="0"/>
            <w:vAlign w:val="center"/>
          </w:tcPr>
          <w:p w14:paraId="47C7A1E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生产碳排放2_tCO2"/>
            <w:r>
              <w:t>2327.306</w:t>
            </w:r>
            <w:bookmarkEnd w:id="51"/>
          </w:p>
        </w:tc>
        <w:tc>
          <w:tcPr>
            <w:tcW w:w="3516" w:type="dxa"/>
            <w:noWrap w:val="0"/>
            <w:vAlign w:val="center"/>
          </w:tcPr>
          <w:p w14:paraId="181DB8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生产碳排放tCO2_m2"/>
            <w:r>
              <w:t>0.782</w:t>
            </w:r>
            <w:bookmarkEnd w:id="52"/>
          </w:p>
        </w:tc>
        <w:tc>
          <w:tcPr>
            <w:tcW w:w="1536" w:type="dxa"/>
            <w:noWrap w:val="0"/>
            <w:vAlign w:val="center"/>
          </w:tcPr>
          <w:p w14:paraId="7BB5EA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材生产占比"/>
            <w:r>
              <w:t>62.382</w:t>
            </w:r>
            <w:bookmarkEnd w:id="53"/>
          </w:p>
        </w:tc>
      </w:tr>
      <w:tr w14:paraId="3C206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1B9912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noWrap w:val="0"/>
            <w:vAlign w:val="center"/>
          </w:tcPr>
          <w:p w14:paraId="391CCC4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noWrap w:val="0"/>
            <w:vAlign w:val="center"/>
          </w:tcPr>
          <w:p w14:paraId="684F22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材运输碳排放2_tCO2"/>
            <w:r>
              <w:t>156.114</w:t>
            </w:r>
            <w:bookmarkEnd w:id="54"/>
          </w:p>
        </w:tc>
        <w:tc>
          <w:tcPr>
            <w:tcW w:w="3516" w:type="dxa"/>
            <w:noWrap w:val="0"/>
            <w:vAlign w:val="center"/>
          </w:tcPr>
          <w:p w14:paraId="32C4BB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材运输碳排放tCO2_m2"/>
            <w:r>
              <w:t>0.052</w:t>
            </w:r>
            <w:bookmarkEnd w:id="55"/>
          </w:p>
        </w:tc>
        <w:tc>
          <w:tcPr>
            <w:tcW w:w="1536" w:type="dxa"/>
            <w:noWrap w:val="0"/>
            <w:vAlign w:val="center"/>
          </w:tcPr>
          <w:p w14:paraId="047FBE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材运输占比"/>
            <w:r>
              <w:t>4.185</w:t>
            </w:r>
            <w:bookmarkEnd w:id="56"/>
          </w:p>
        </w:tc>
      </w:tr>
      <w:tr w14:paraId="122AB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570169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noWrap w:val="0"/>
            <w:vAlign w:val="center"/>
          </w:tcPr>
          <w:p w14:paraId="3762841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noWrap w:val="0"/>
            <w:vAlign w:val="center"/>
          </w:tcPr>
          <w:p w14:paraId="0FC9716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建造碳排放2_tCO2"/>
            <w:r>
              <w:t>11.879</w:t>
            </w:r>
            <w:bookmarkEnd w:id="57"/>
          </w:p>
        </w:tc>
        <w:tc>
          <w:tcPr>
            <w:tcW w:w="3516" w:type="dxa"/>
            <w:noWrap w:val="0"/>
            <w:vAlign w:val="center"/>
          </w:tcPr>
          <w:p w14:paraId="24C2B2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建造碳排放tCO2_m2"/>
            <w:r>
              <w:t>0.004</w:t>
            </w:r>
            <w:bookmarkEnd w:id="58"/>
          </w:p>
        </w:tc>
        <w:tc>
          <w:tcPr>
            <w:tcW w:w="1536" w:type="dxa"/>
            <w:noWrap w:val="0"/>
            <w:vAlign w:val="center"/>
          </w:tcPr>
          <w:p w14:paraId="2B30B15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建造占比"/>
            <w:r>
              <w:t>0.318</w:t>
            </w:r>
            <w:bookmarkEnd w:id="59"/>
          </w:p>
        </w:tc>
      </w:tr>
      <w:tr w14:paraId="64E88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03B217C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noWrap w:val="0"/>
            <w:vAlign w:val="center"/>
          </w:tcPr>
          <w:p w14:paraId="4AFF993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noWrap w:val="0"/>
            <w:vAlign w:val="center"/>
          </w:tcPr>
          <w:p w14:paraId="1F5C55B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总碳排放tCO2"/>
            <w:r>
              <w:t>1223.578</w:t>
            </w:r>
            <w:bookmarkEnd w:id="60"/>
          </w:p>
        </w:tc>
        <w:tc>
          <w:tcPr>
            <w:tcW w:w="3516" w:type="dxa"/>
            <w:noWrap w:val="0"/>
            <w:vAlign w:val="center"/>
          </w:tcPr>
          <w:p w14:paraId="557F62A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总碳排放tCO2_m2"/>
            <w:r>
              <w:t>0.411</w:t>
            </w:r>
            <w:bookmarkEnd w:id="61"/>
          </w:p>
        </w:tc>
        <w:tc>
          <w:tcPr>
            <w:tcW w:w="1536" w:type="dxa"/>
            <w:noWrap w:val="0"/>
            <w:vAlign w:val="center"/>
          </w:tcPr>
          <w:p w14:paraId="79C9B6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建筑运行占比"/>
            <w:r>
              <w:t>32.797</w:t>
            </w:r>
            <w:bookmarkEnd w:id="62"/>
          </w:p>
        </w:tc>
      </w:tr>
      <w:tr w14:paraId="693AE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noWrap w:val="0"/>
            <w:vAlign w:val="center"/>
          </w:tcPr>
          <w:p w14:paraId="3BCABCD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noWrap w:val="0"/>
            <w:vAlign w:val="center"/>
          </w:tcPr>
          <w:p w14:paraId="2A5C1E6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noWrap w:val="0"/>
            <w:vAlign w:val="center"/>
          </w:tcPr>
          <w:p w14:paraId="7AB2B27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建筑拆除碳排放2_tCO2"/>
            <w:r>
              <w:t>11.879</w:t>
            </w:r>
            <w:bookmarkEnd w:id="63"/>
          </w:p>
        </w:tc>
        <w:tc>
          <w:tcPr>
            <w:tcW w:w="3516" w:type="dxa"/>
            <w:noWrap w:val="0"/>
            <w:vAlign w:val="center"/>
          </w:tcPr>
          <w:p w14:paraId="4424939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4" w:name="建筑拆除碳排放tCO2_m2"/>
            <w:r>
              <w:t>0.004</w:t>
            </w:r>
            <w:bookmarkEnd w:id="64"/>
          </w:p>
        </w:tc>
        <w:tc>
          <w:tcPr>
            <w:tcW w:w="1536" w:type="dxa"/>
            <w:noWrap w:val="0"/>
            <w:vAlign w:val="center"/>
          </w:tcPr>
          <w:p w14:paraId="507F9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5" w:name="建筑拆除占比"/>
            <w:r>
              <w:t>0.318</w:t>
            </w:r>
            <w:bookmarkEnd w:id="65"/>
          </w:p>
        </w:tc>
      </w:tr>
      <w:tr w14:paraId="6AB96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4844911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noWrap w:val="0"/>
            <w:vAlign w:val="center"/>
          </w:tcPr>
          <w:p w14:paraId="4B952BB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6" w:name="全生命周期碳排放tCO2"/>
            <w:r>
              <w:t>3730.756</w:t>
            </w:r>
            <w:bookmarkEnd w:id="66"/>
          </w:p>
        </w:tc>
        <w:tc>
          <w:tcPr>
            <w:tcW w:w="3516" w:type="dxa"/>
            <w:noWrap w:val="0"/>
            <w:vAlign w:val="center"/>
          </w:tcPr>
          <w:p w14:paraId="580F4A3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7" w:name="全生命周期碳排放tCO2_m2"/>
            <w:r>
              <w:t>1.253</w:t>
            </w:r>
            <w:bookmarkEnd w:id="67"/>
          </w:p>
        </w:tc>
        <w:tc>
          <w:tcPr>
            <w:tcW w:w="1536" w:type="dxa"/>
            <w:noWrap w:val="0"/>
            <w:vAlign w:val="center"/>
          </w:tcPr>
          <w:p w14:paraId="254CDFB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3C1EF6A5">
      <w:pPr>
        <w:pStyle w:val="48"/>
      </w:pPr>
      <w:r>
        <w:rPr>
          <w:rFonts w:hint="eastAsia"/>
        </w:rPr>
        <w:t>本项目全生命周期碳排放总量为</w:t>
      </w:r>
      <w:bookmarkStart w:id="68" w:name="全生命周期碳排放2_tCO2"/>
      <w:r>
        <w:t>3730.756</w:t>
      </w:r>
      <w:bookmarkEnd w:id="68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9" w:name="全生命周期碳排放2_tCO2_m2"/>
      <w:r>
        <w:t>1.253</w:t>
      </w:r>
      <w:bookmarkEnd w:id="69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3E4F3A8C">
      <w:pPr>
        <w:pStyle w:val="48"/>
      </w:pPr>
      <w:r>
        <w:rPr>
          <w:rFonts w:hint="eastAsia"/>
        </w:rPr>
        <w:t>年均单位面积碳排放量为</w:t>
      </w:r>
      <w:bookmarkStart w:id="70" w:name="全生命周期碳排放tCO2_m2_a"/>
      <w:r>
        <w:t>0.025</w:t>
      </w:r>
      <w:bookmarkEnd w:id="70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1" w:name="全生命周期碳排放kgCO2_m2_a"/>
      <w:r>
        <w:t>25.000</w:t>
      </w:r>
      <w:bookmarkEnd w:id="71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panose1 w:val="02010609000101010101"/>
    <w:charset w:val="88"/>
    <w:family w:val="modern"/>
    <w:pitch w:val="default"/>
    <w:sig w:usb0="80000001" w:usb1="280918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3E1B">
    <w:pPr>
      <w:pStyle w:val="5"/>
      <w:ind w:firstLine="4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37EB4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B4FE6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4D08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A5539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81DA3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F28E0"/>
    <w:rsid w:val="001915A3"/>
    <w:rsid w:val="00217F62"/>
    <w:rsid w:val="00A906D8"/>
    <w:rsid w:val="00AB5A74"/>
    <w:rsid w:val="00F071AE"/>
    <w:rsid w:val="24381167"/>
    <w:rsid w:val="2A1F28E0"/>
    <w:rsid w:val="68CE4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="宋体" w:cs="Times New Roman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unhideWhenUsed/>
    <w:uiPriority w:val="1"/>
  </w:style>
  <w:style w:type="table" w:default="1" w:styleId="28">
    <w:name w:val="Normal Table"/>
    <w:unhideWhenUsed/>
    <w:qFormat/>
    <w:uiPriority w:val="99"/>
    <w:tblPr>
      <w:tblStyle w:val="2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="宋体" w:hAnsi="宋体"/>
    </w:rPr>
  </w:style>
  <w:style w:type="paragraph" w:styleId="9">
    <w:name w:val="caption"/>
    <w:basedOn w:val="1"/>
    <w:next w:val="1"/>
    <w:unhideWhenUsed/>
    <w:qFormat/>
    <w:uiPriority w:val="0"/>
    <w:rPr>
      <w:rFonts w:ascii="宋体" w:hAnsi="宋体" w:eastAsia="黑体" w:cs="Times New Roman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="宋体" w:hAnsi="宋体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ascii="宋体" w:hAnsi="宋体" w:cs="Times New Roman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="宋体" w:hAnsi="宋体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ascii="宋体" w:hAnsi="宋体" w:cs="Times New Roman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="宋体" w:hAnsi="宋体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="宋体" w:hAnsi="宋体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ascii="宋体" w:hAnsi="宋体" w:cs="Times New Roman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="宋体" w:hAnsi="宋体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="宋体" w:hAnsi="宋体" w:eastAsia="宋体" w:cs="Times New Roman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unhideWhenUsed/>
    <w:qFormat/>
    <w:uiPriority w:val="99"/>
    <w:rPr>
      <w:color w:val="954F72"/>
      <w:u w:val="single"/>
    </w:rPr>
  </w:style>
  <w:style w:type="character" w:styleId="32">
    <w:name w:val="Hyperlink"/>
    <w:basedOn w:val="30"/>
    <w:unhideWhenUsed/>
    <w:qFormat/>
    <w:uiPriority w:val="99"/>
    <w:rPr>
      <w:color w:val="0563C1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="宋体" w:cs="Arial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="宋体" w:cs="Arial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="宋体" w:hAnsi="宋体" w:eastAsia="宋体" w:cs="Times New Roman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="宋体" w:cs="Arial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="宋体" w:hAnsi="宋体" w:eastAsia="宋体" w:cs="Arial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="宋体" w:cs="Arial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="宋体" w:cs="Arial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="宋体" w:hAnsi="宋体" w:eastAsia="宋体" w:cs="Arial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="宋体" w:cs="Arial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="宋体" w:hAnsi="宋体" w:eastAsia="宋体" w:cs="Times New Roman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="宋体" w:hAnsi="宋体" w:eastAsia="宋体" w:cs="Arial"/>
      <w:b/>
      <w:bCs/>
      <w:kern w:val="2"/>
      <w:sz w:val="21"/>
      <w:szCs w:val="22"/>
    </w:rPr>
  </w:style>
  <w:style w:type="paragraph" w:customStyle="1" w:styleId="47">
    <w:name w:val="修订1"/>
    <w:semiHidden/>
    <w:qFormat/>
    <w:uiPriority w:val="99"/>
    <w:rPr>
      <w:rFonts w:ascii="宋体" w:hAnsi="宋体" w:eastAsia="宋体" w:cs="Arial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宋体" w:hAnsi="宋体" w:eastAsia="宋体" w:cs="Times New Roman"/>
      <w:b w:val="0"/>
      <w:bCs w:val="0"/>
      <w:color w:val="2E75B5"/>
      <w:kern w:val="0"/>
      <w:sz w:val="32"/>
      <w:szCs w:val="32"/>
    </w:rPr>
  </w:style>
  <w:style w:type="character" w:customStyle="1" w:styleId="52">
    <w:name w:val="未处理的提及1"/>
    <w:basedOn w:val="30"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宋体" w:hAnsi="宋体" w:eastAsia="宋体" w:cs="Times New Roman"/>
      <w:b w:val="0"/>
      <w:bCs w:val="0"/>
      <w:color w:val="2E75B5"/>
      <w:kern w:val="0"/>
      <w:sz w:val="32"/>
      <w:szCs w:val="32"/>
    </w:rPr>
  </w:style>
  <w:style w:type="paragraph" w:customStyle="1" w:styleId="55">
    <w:name w:val="修订2"/>
    <w:semiHidden/>
    <w:qFormat/>
    <w:uiPriority w:val="99"/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semiHidden/>
    <w:uiPriority w:val="99"/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</Pages>
  <Words>783</Words>
  <Characters>1292</Characters>
  <Lines>9</Lines>
  <Paragraphs>2</Paragraphs>
  <TotalTime>495</TotalTime>
  <ScaleCrop>false</ScaleCrop>
  <LinksUpToDate>false</LinksUpToDate>
  <CharactersWithSpaces>1339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2025-10-30T06:46:00Z</dcterms:created>
  <dc:creator>九千七</dc:creator>
  <cp:lastModifiedBy>九千七</cp:lastModifiedBy>
  <dcterms:modified xsi:type="dcterms:W3CDTF">2025-12-24T14:24:32Z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FBF2E46F43D045CAA99269B7AAC07A04_13</vt:lpwstr>
  </property>
</Properties>
</file>