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3BDC2">
      <w:pPr>
        <w:spacing w:before="480" w:after="480" w:line="288" w:lineRule="auto"/>
        <w:ind w:left="0"/>
      </w:pPr>
      <w:r>
        <w:rPr>
          <w:rFonts w:ascii="Arial" w:hAnsi="Arial" w:eastAsia="等线" w:cs="Arial"/>
          <w:b/>
          <w:sz w:val="52"/>
        </w:rPr>
        <w:t>松筠·青绿方舟——大学生活动中心</w:t>
      </w:r>
      <w:bookmarkStart w:id="9" w:name="_GoBack"/>
      <w:bookmarkEnd w:id="9"/>
      <w:r>
        <w:rPr>
          <w:rFonts w:ascii="Arial" w:hAnsi="Arial" w:eastAsia="等线" w:cs="Arial"/>
          <w:b/>
          <w:sz w:val="52"/>
        </w:rPr>
        <w:t>不适宜开发利用地下空间论证报告</w:t>
      </w:r>
    </w:p>
    <w:p w14:paraId="236DF575">
      <w:pPr>
        <w:spacing w:before="120" w:after="120" w:line="288" w:lineRule="auto"/>
        <w:ind w:left="0"/>
        <w:jc w:val="left"/>
      </w:pPr>
      <w:r>
        <w:rPr>
          <w:rFonts w:ascii="Arial" w:hAnsi="Arial" w:eastAsia="等线" w:cs="Arial"/>
          <w:sz w:val="22"/>
        </w:rPr>
        <w:t>本次论证针对松筠·青绿方舟大学生活动中心项目（以下简称“本项目”）地下空间开发利用的适宜性展开，结合项目基地条件、功能定位、绿色建筑理念及相关技术规范，通过多维度分析论证，明确本项目不适宜开发利用地下空间，具体论证内容如下：</w:t>
      </w:r>
    </w:p>
    <w:p w14:paraId="18F6F1CF">
      <w:pPr>
        <w:spacing w:before="320" w:after="120" w:line="288" w:lineRule="auto"/>
        <w:ind w:left="0"/>
        <w:jc w:val="left"/>
        <w:outlineLvl w:val="1"/>
      </w:pPr>
      <w:bookmarkStart w:id="0" w:name="heading_0"/>
      <w:r>
        <w:rPr>
          <w:rFonts w:ascii="Arial" w:hAnsi="Arial" w:eastAsia="等线" w:cs="Arial"/>
          <w:b/>
          <w:sz w:val="32"/>
        </w:rPr>
        <w:t>一、项目概况</w:t>
      </w:r>
      <w:bookmarkEnd w:id="0"/>
    </w:p>
    <w:p w14:paraId="23F66AE3">
      <w:pPr>
        <w:spacing w:before="120" w:after="120" w:line="288" w:lineRule="auto"/>
        <w:ind w:left="0"/>
        <w:jc w:val="left"/>
      </w:pPr>
      <w:r>
        <w:rPr>
          <w:rFonts w:ascii="Arial" w:hAnsi="Arial" w:eastAsia="等线" w:cs="Arial"/>
          <w:sz w:val="22"/>
        </w:rPr>
        <w:t>本项目位于山东省泰安市某高校内，规划总用地面积5525㎡，建筑总面积5565.17㎡，核心定位为低碳导向下的绿色建筑，聚焦大学生学习、活动、办公等多元需求，配套展览、自习、工作室、办公等功能空间。建筑采用清水混凝土等环保材料，设置植物绿墙、屋顶花园，应用光伏板、轻骨料低碳混凝土保温等绿色技术，旨在实现全生命周期低碳环保，达成环境效益与经济效益双赢，助力建筑碳中和目标。</w:t>
      </w:r>
    </w:p>
    <w:p w14:paraId="59948F89">
      <w:pPr>
        <w:spacing w:before="120" w:after="120" w:line="288" w:lineRule="auto"/>
        <w:ind w:left="0"/>
        <w:jc w:val="left"/>
      </w:pPr>
      <w:r>
        <w:rPr>
          <w:rFonts w:ascii="Arial" w:hAnsi="Arial" w:eastAsia="等线" w:cs="Arial"/>
          <w:sz w:val="22"/>
        </w:rPr>
        <w:t>项目基地地势平坦，原为食堂与便利超市等集合空间，北部为西礼堂，西部临近篮球场与操场，南部为学生宿舍楼，东侧为人行道路，西侧为车行道路，周边校园设施密集，人流、车流活动频繁。</w:t>
      </w:r>
    </w:p>
    <w:p w14:paraId="11B14E0F">
      <w:pPr>
        <w:spacing w:before="320" w:after="120" w:line="288" w:lineRule="auto"/>
        <w:ind w:left="0"/>
        <w:jc w:val="left"/>
        <w:outlineLvl w:val="1"/>
      </w:pPr>
      <w:bookmarkStart w:id="1" w:name="heading_1"/>
      <w:r>
        <w:rPr>
          <w:rFonts w:ascii="Arial" w:hAnsi="Arial" w:eastAsia="等线" w:cs="Arial"/>
          <w:b/>
          <w:sz w:val="32"/>
        </w:rPr>
        <w:t>二、论证依据</w:t>
      </w:r>
      <w:bookmarkEnd w:id="1"/>
    </w:p>
    <w:p w14:paraId="05142EC1">
      <w:pPr>
        <w:spacing w:before="120" w:after="120" w:line="288" w:lineRule="auto"/>
        <w:ind w:left="0"/>
        <w:jc w:val="left"/>
      </w:pPr>
      <w:r>
        <w:rPr>
          <w:rFonts w:ascii="Arial" w:hAnsi="Arial" w:eastAsia="等线" w:cs="Arial"/>
          <w:sz w:val="22"/>
        </w:rPr>
        <w:t>1.  本项目总体规划方案、基地勘察资料及相关设计文件；</w:t>
      </w:r>
    </w:p>
    <w:p w14:paraId="749DBC8C">
      <w:pPr>
        <w:spacing w:before="120" w:after="120" w:line="288" w:lineRule="auto"/>
        <w:ind w:left="0"/>
        <w:jc w:val="left"/>
      </w:pPr>
      <w:r>
        <w:rPr>
          <w:rFonts w:ascii="Arial" w:hAnsi="Arial" w:eastAsia="等线" w:cs="Arial"/>
          <w:sz w:val="22"/>
        </w:rPr>
        <w:t>2.  《绿色建筑评价标准》（GB/T 50378-2019）、《地下空间开发利用规范》（GB 50355-2016）；</w:t>
      </w:r>
    </w:p>
    <w:p w14:paraId="11856562">
      <w:pPr>
        <w:spacing w:before="120" w:after="120" w:line="288" w:lineRule="auto"/>
        <w:ind w:left="0"/>
        <w:jc w:val="left"/>
      </w:pPr>
      <w:r>
        <w:rPr>
          <w:rFonts w:ascii="Arial" w:hAnsi="Arial" w:eastAsia="等线" w:cs="Arial"/>
          <w:sz w:val="22"/>
        </w:rPr>
        <w:t>3.  泰安市地质环境特征相关资料及地下空间开发适宜性评价规范；</w:t>
      </w:r>
    </w:p>
    <w:p w14:paraId="54851278">
      <w:pPr>
        <w:spacing w:before="120" w:after="120" w:line="288" w:lineRule="auto"/>
        <w:ind w:left="0"/>
        <w:jc w:val="left"/>
      </w:pPr>
      <w:r>
        <w:rPr>
          <w:rFonts w:ascii="Arial" w:hAnsi="Arial" w:eastAsia="等线" w:cs="Arial"/>
          <w:sz w:val="22"/>
        </w:rPr>
        <w:t>4.  高校校园建筑设计相关规范及低碳建筑建设相关要求；</w:t>
      </w:r>
    </w:p>
    <w:p w14:paraId="0BC4BFAA">
      <w:pPr>
        <w:spacing w:before="120" w:after="120" w:line="288" w:lineRule="auto"/>
        <w:ind w:left="0"/>
        <w:jc w:val="left"/>
      </w:pPr>
      <w:r>
        <w:rPr>
          <w:rFonts w:ascii="Arial" w:hAnsi="Arial" w:eastAsia="等线" w:cs="Arial"/>
          <w:sz w:val="22"/>
        </w:rPr>
        <w:t>5.  城市地下空间综合开发相关技术标准、风险管理规范及泰安市国土空间规划相关要求。</w:t>
      </w:r>
    </w:p>
    <w:p w14:paraId="0AC6DB13">
      <w:pPr>
        <w:spacing w:before="320" w:after="120" w:line="288" w:lineRule="auto"/>
        <w:ind w:left="0"/>
        <w:jc w:val="left"/>
        <w:outlineLvl w:val="1"/>
      </w:pPr>
      <w:bookmarkStart w:id="2" w:name="heading_2"/>
      <w:r>
        <w:rPr>
          <w:rFonts w:ascii="Arial" w:hAnsi="Arial" w:eastAsia="等线" w:cs="Arial"/>
          <w:b/>
          <w:sz w:val="32"/>
        </w:rPr>
        <w:t>三、不适宜开发利用地下空间的核心论证</w:t>
      </w:r>
      <w:bookmarkEnd w:id="2"/>
    </w:p>
    <w:p w14:paraId="3A172329">
      <w:pPr>
        <w:spacing w:before="300" w:after="120" w:line="288" w:lineRule="auto"/>
        <w:ind w:left="0"/>
        <w:jc w:val="left"/>
        <w:outlineLvl w:val="2"/>
      </w:pPr>
      <w:bookmarkStart w:id="3" w:name="heading_3"/>
      <w:r>
        <w:rPr>
          <w:rFonts w:ascii="Arial" w:hAnsi="Arial" w:eastAsia="等线" w:cs="Arial"/>
          <w:b/>
          <w:sz w:val="30"/>
        </w:rPr>
        <w:t>（一）地质与水文条件制约，开发风险高、难度大</w:t>
      </w:r>
      <w:bookmarkEnd w:id="3"/>
    </w:p>
    <w:p w14:paraId="15B97FA2">
      <w:pPr>
        <w:spacing w:before="120" w:after="120" w:line="288" w:lineRule="auto"/>
        <w:ind w:left="0"/>
        <w:jc w:val="left"/>
      </w:pPr>
      <w:r>
        <w:rPr>
          <w:rFonts w:ascii="Arial" w:hAnsi="Arial" w:eastAsia="等线" w:cs="Arial"/>
          <w:sz w:val="22"/>
        </w:rPr>
        <w:t>本项目位于泰安市，该市坐落于泰山南麓，处于徂徕山断陷盆地西端，区域地质环境复杂，地下空间开发受工程地质、水文地质条件影响显著。根据泰安市地下空间开发地质环境适宜性相关评价，当地岩土体特征、地下水条件对地下空间开发存在明显制约。</w:t>
      </w:r>
    </w:p>
    <w:p w14:paraId="165AD4E1">
      <w:pPr>
        <w:spacing w:before="120" w:after="120" w:line="288" w:lineRule="auto"/>
        <w:ind w:left="0"/>
        <w:jc w:val="left"/>
      </w:pPr>
      <w:r>
        <w:rPr>
          <w:rFonts w:ascii="Arial" w:hAnsi="Arial" w:eastAsia="等线" w:cs="Arial"/>
          <w:sz w:val="22"/>
        </w:rPr>
        <w:t>项目基地原为食堂与便利超市集合空间，长期作为服务性用地使用，地下管线（给排水、燃气、电力、通信等）分布密集且布局复杂，部分管线铺设年限较长，走向及埋深记录不够完善。若开发地下空间，需对现有地下管线进行大规模迁移、改造，不仅施工难度大，还可能破坏管线完整性，引发供水、供电、通信中断等安全隐患，影响周边校园设施正常运行。</w:t>
      </w:r>
    </w:p>
    <w:p w14:paraId="67A4D25C">
      <w:pPr>
        <w:spacing w:before="120" w:after="120" w:line="288" w:lineRule="auto"/>
        <w:ind w:left="0"/>
        <w:jc w:val="left"/>
      </w:pPr>
      <w:r>
        <w:rPr>
          <w:rFonts w:ascii="Arial" w:hAnsi="Arial" w:eastAsia="等线" w:cs="Arial"/>
          <w:sz w:val="22"/>
        </w:rPr>
        <w:t>同时，泰安市部分区域地下水富水性强，若项目区域地下水位较高，开发地下空间需采取复杂的降水、止水措施，否则易出现基坑突涌、管涌等安全事故，且地下水可能对钢筋混凝土产生腐蚀作用，降低地下建筑结构的安全性和耐久性。此外，基地周边若存在隐伏岩溶或断裂构造，地下空间开发还可能诱发岩溶塌陷，对地上建筑及周边环境造成严重破坏，进一步增加开发风险与施工难度。</w:t>
      </w:r>
    </w:p>
    <w:p w14:paraId="047FCCF5">
      <w:pPr>
        <w:spacing w:before="300" w:after="120" w:line="288" w:lineRule="auto"/>
        <w:ind w:left="0"/>
        <w:jc w:val="left"/>
        <w:outlineLvl w:val="2"/>
      </w:pPr>
      <w:bookmarkStart w:id="4" w:name="heading_4"/>
      <w:r>
        <w:rPr>
          <w:rFonts w:ascii="Arial" w:hAnsi="Arial" w:eastAsia="等线" w:cs="Arial"/>
          <w:b/>
          <w:sz w:val="30"/>
        </w:rPr>
        <w:t>（二）与绿色建筑理念相悖，违背低碳节能目标</w:t>
      </w:r>
      <w:bookmarkEnd w:id="4"/>
    </w:p>
    <w:p w14:paraId="14B24778">
      <w:pPr>
        <w:spacing w:before="120" w:after="120" w:line="288" w:lineRule="auto"/>
        <w:ind w:left="0"/>
        <w:jc w:val="left"/>
      </w:pPr>
      <w:r>
        <w:rPr>
          <w:rFonts w:ascii="Arial" w:hAnsi="Arial" w:eastAsia="等线" w:cs="Arial"/>
          <w:sz w:val="22"/>
        </w:rPr>
        <w:t>本项目核心定位为低碳背景下的绿色建筑，核心目标是降低从施工到使用、回收全流程碳排放，提升资源利用效率。而地下空间开发与这一核心目标存在根本性冲突，主要体现在两个方面：</w:t>
      </w:r>
    </w:p>
    <w:p w14:paraId="7A2E83CA">
      <w:pPr>
        <w:spacing w:before="120" w:after="120" w:line="288" w:lineRule="auto"/>
        <w:ind w:left="0"/>
        <w:jc w:val="left"/>
      </w:pPr>
      <w:r>
        <w:rPr>
          <w:rFonts w:ascii="Arial" w:hAnsi="Arial" w:eastAsia="等线" w:cs="Arial"/>
          <w:sz w:val="22"/>
        </w:rPr>
        <w:t>一方面，地下空间施工过程中，基坑开挖、土方外运、支护工程及管线改造等环节，会产生大量建筑垃圾和施工扬尘，消耗大量钢材、水泥等高碳排放建材，显著增加项目施工阶段的碳排放量，与项目“低碳建设”的初衷不符。据相关数据显示，地下空间开发的碳排放强度远高于地上建筑，仅基坑开挖与支护环节的碳排放就占建筑施工总碳排放的20%以上，严重违背本项目绿色低碳的核心定位。</w:t>
      </w:r>
    </w:p>
    <w:p w14:paraId="7F196530">
      <w:pPr>
        <w:spacing w:before="120" w:after="120" w:line="288" w:lineRule="auto"/>
        <w:ind w:left="0"/>
        <w:jc w:val="left"/>
      </w:pPr>
      <w:r>
        <w:rPr>
          <w:rFonts w:ascii="Arial" w:hAnsi="Arial" w:eastAsia="等线" w:cs="Arial"/>
          <w:sz w:val="22"/>
        </w:rPr>
        <w:t>另一方面，地下空间使用过程中，通风、采光、防潮等均需依赖人工设备，会持续消耗大量电力资源，导致建筑运营阶段能耗大幅增加。而本项目应用光伏板等可再生能源技术，核心是实现能源高效利用、降低运营能耗，地下空间的开发会抵消光伏技术带来的节能效益，与“提升资源利用效率、实现节能环保”的目标相悖。此外，地下空间开发需采用高能耗的施工技术与材料，难以契合本项目轻骨料低碳混凝土等环保材料的应用理念，不符合绿色建筑全生命周期低碳的要求。</w:t>
      </w:r>
    </w:p>
    <w:p w14:paraId="7B8888B4">
      <w:pPr>
        <w:spacing w:before="300" w:after="120" w:line="288" w:lineRule="auto"/>
        <w:ind w:left="0"/>
        <w:jc w:val="left"/>
        <w:outlineLvl w:val="2"/>
      </w:pPr>
      <w:bookmarkStart w:id="5" w:name="heading_5"/>
      <w:r>
        <w:rPr>
          <w:rFonts w:ascii="Arial" w:hAnsi="Arial" w:eastAsia="等线" w:cs="Arial"/>
          <w:b/>
          <w:sz w:val="30"/>
        </w:rPr>
        <w:t>（三）功能需求可通过地上空间满足，地下开发无必要</w:t>
      </w:r>
      <w:bookmarkEnd w:id="5"/>
    </w:p>
    <w:p w14:paraId="4ECBD050">
      <w:pPr>
        <w:spacing w:before="120" w:after="120" w:line="288" w:lineRule="auto"/>
        <w:ind w:left="0"/>
        <w:jc w:val="left"/>
      </w:pPr>
      <w:r>
        <w:rPr>
          <w:rFonts w:ascii="Arial" w:hAnsi="Arial" w:eastAsia="等线" w:cs="Arial"/>
          <w:sz w:val="22"/>
        </w:rPr>
        <w:t>本项目建筑总面积5565.17㎡，规划用地面积5525㎡，用地利用率合理，地上空间完全可满足项目所有功能需求，无需通过开发地下空间补充使用面积。</w:t>
      </w:r>
    </w:p>
    <w:p w14:paraId="330E74E9">
      <w:pPr>
        <w:spacing w:before="120" w:after="120" w:line="288" w:lineRule="auto"/>
        <w:ind w:left="0"/>
        <w:jc w:val="left"/>
      </w:pPr>
      <w:r>
        <w:rPr>
          <w:rFonts w:ascii="Arial" w:hAnsi="Arial" w:eastAsia="等线" w:cs="Arial"/>
          <w:sz w:val="22"/>
        </w:rPr>
        <w:t>项目内部规划的展览区、自习室、报告厅、工作室、办公用房及辅助空间，通过地上错层设计、合理分区布局，已实现功能的有序排布，且建筑错层设计不仅丰富了立面效果，还优化了地上空间的通风采光条件，提升了空间使用舒适度。同时，项目设置的屋顶花园、植物绿墙等景观元素，与地上空间形成有机融合，为师生提供了亲近自然的活动场景，而地下空间封闭、压抑的环境，与项目“让使用者亲近自然”的设计理念不符，也无法满足大学生对开放、明亮活动空间的需求。</w:t>
      </w:r>
    </w:p>
    <w:p w14:paraId="46DE8585">
      <w:pPr>
        <w:spacing w:before="120" w:after="120" w:line="288" w:lineRule="auto"/>
        <w:ind w:left="0"/>
        <w:jc w:val="left"/>
      </w:pPr>
      <w:r>
        <w:rPr>
          <w:rFonts w:ascii="Arial" w:hAnsi="Arial" w:eastAsia="等线" w:cs="Arial"/>
          <w:sz w:val="22"/>
        </w:rPr>
        <w:t>此外，高校学生活动具有集中性、流动性强的特点，地下空间的疏散难度大，若发生火灾、突发灾害等紧急情况，易出现人员拥挤、疏散不畅的问题，存在严重的安全隐患，不符合校园建筑“安全优先”的设计原则。对比地上空间，地下空间的使用便捷性、安全性均处于劣势，且无法与校园现有地上设施形成高效联动，开发地下空间无实际功能价值。</w:t>
      </w:r>
    </w:p>
    <w:p w14:paraId="2D8679AF">
      <w:pPr>
        <w:spacing w:before="300" w:after="120" w:line="288" w:lineRule="auto"/>
        <w:ind w:left="0"/>
        <w:jc w:val="left"/>
        <w:outlineLvl w:val="2"/>
      </w:pPr>
      <w:bookmarkStart w:id="6" w:name="heading_6"/>
      <w:r>
        <w:rPr>
          <w:rFonts w:ascii="Arial" w:hAnsi="Arial" w:eastAsia="等线" w:cs="Arial"/>
          <w:b/>
          <w:sz w:val="30"/>
        </w:rPr>
        <w:t>（四）开发成本过高，经济效益与环境效益失衡</w:t>
      </w:r>
      <w:bookmarkEnd w:id="6"/>
    </w:p>
    <w:p w14:paraId="33038CE4">
      <w:pPr>
        <w:spacing w:before="120" w:after="120" w:line="288" w:lineRule="auto"/>
        <w:ind w:left="0"/>
        <w:jc w:val="left"/>
      </w:pPr>
      <w:r>
        <w:rPr>
          <w:rFonts w:ascii="Arial" w:hAnsi="Arial" w:eastAsia="等线" w:cs="Arial"/>
          <w:sz w:val="22"/>
        </w:rPr>
        <w:t>地下空间开发的投资成本显著高于地上建筑，且回收周期长、运营维护成本高昂，与本项目“实现环境效益与经济效益双赢”的目标相悖。结合项目实际情况，地下空间开发的成本压力主要体现在三个方面：</w:t>
      </w:r>
    </w:p>
    <w:p w14:paraId="3D3FDC1D">
      <w:pPr>
        <w:spacing w:before="120" w:after="120" w:line="288" w:lineRule="auto"/>
        <w:ind w:left="0"/>
        <w:jc w:val="left"/>
      </w:pPr>
      <w:r>
        <w:rPr>
          <w:rFonts w:ascii="Arial" w:hAnsi="Arial" w:eastAsia="等线" w:cs="Arial"/>
          <w:sz w:val="22"/>
        </w:rPr>
        <w:t>一是施工成本高，地下空间开发需进行基坑开挖、支护、降水、管线迁移、防水处理等复杂工序，施工工艺难度大、工期长，据行业数据测算，地下空间单位面积施工成本是地上建筑的2-3倍，将大幅增加项目总投资，超出项目预算管控范围；二是运营维护成本高，地下空间的通风、照明、防潮、排水及结构维护等均需长期投入人力、物力、财力，年运营维护成本可达每平方米10-20元，长期运营将造成沉重的经济负担；三是后期改造成本高，地下空间一旦建成，功能调整、结构改造的难度极大，成本极高，无法适应校园未来发展的功能调整需求。</w:t>
      </w:r>
    </w:p>
    <w:p w14:paraId="633C6D50">
      <w:pPr>
        <w:spacing w:before="120" w:after="120" w:line="288" w:lineRule="auto"/>
        <w:ind w:left="0"/>
        <w:jc w:val="left"/>
      </w:pPr>
      <w:r>
        <w:rPr>
          <w:rFonts w:ascii="Arial" w:hAnsi="Arial" w:eastAsia="等线" w:cs="Arial"/>
          <w:sz w:val="22"/>
        </w:rPr>
        <w:t>同时，地下空间开发会破坏基地原有地形地貌，扰动地下土体结构，可能导致周边地面沉降，影响周边学生宿舍楼、西礼堂等现有建筑的结构安全，后续需投入大量资金进行监测与加固，进一步加剧成本压力，导致项目经济效益与环境效益失衡。</w:t>
      </w:r>
    </w:p>
    <w:p w14:paraId="5F4395FC">
      <w:pPr>
        <w:spacing w:before="300" w:after="120" w:line="288" w:lineRule="auto"/>
        <w:ind w:left="0"/>
        <w:jc w:val="left"/>
        <w:outlineLvl w:val="2"/>
      </w:pPr>
      <w:bookmarkStart w:id="7" w:name="heading_7"/>
      <w:r>
        <w:rPr>
          <w:rFonts w:ascii="Arial" w:hAnsi="Arial" w:eastAsia="等线" w:cs="Arial"/>
          <w:b/>
          <w:sz w:val="30"/>
        </w:rPr>
        <w:t>（五）周边环境限制，开发可行性低</w:t>
      </w:r>
      <w:bookmarkEnd w:id="7"/>
    </w:p>
    <w:p w14:paraId="47D8B45B">
      <w:pPr>
        <w:spacing w:before="120" w:after="120" w:line="288" w:lineRule="auto"/>
        <w:ind w:left="0"/>
        <w:jc w:val="left"/>
      </w:pPr>
      <w:r>
        <w:rPr>
          <w:rFonts w:ascii="Arial" w:hAnsi="Arial" w:eastAsia="等线" w:cs="Arial"/>
          <w:sz w:val="22"/>
        </w:rPr>
        <w:t>项目基地周边校园设施密集，北部为西礼堂，西部为篮球场与操场，南部为学生宿舍楼，东侧为人行道路，西侧为车行道路，人流、车流密集，地下空间开发将对周边环境造成严重影响，进一步降低开发可行性。</w:t>
      </w:r>
    </w:p>
    <w:p w14:paraId="66E8E3A5">
      <w:pPr>
        <w:spacing w:before="120" w:after="120" w:line="288" w:lineRule="auto"/>
        <w:ind w:left="0"/>
        <w:jc w:val="left"/>
      </w:pPr>
      <w:r>
        <w:rPr>
          <w:rFonts w:ascii="Arial" w:hAnsi="Arial" w:eastAsia="等线" w:cs="Arial"/>
          <w:sz w:val="22"/>
        </w:rPr>
        <w:t>施工期间，基坑开挖、土方运输、机械作业等会产生大量噪音、扬尘，影响周边学生的正常学习、生活及体育活动，违背校园“安静、舒适”的环境要求；同时，施工过程中需占用周边人行、车行道路，导致校园交通拥堵，影响师生出行安全。此外，基地周边地下管线与周边建筑、设施联系紧密，地下空间开发可能破坏周边建筑的基础结构，引发安全隐患，且项目区域无足够的施工场地用于材料堆放、机械作业，进一步制约了地下空间开发的实施。</w:t>
      </w:r>
    </w:p>
    <w:p w14:paraId="56530785">
      <w:pPr>
        <w:spacing w:before="120" w:after="120" w:line="288" w:lineRule="auto"/>
        <w:ind w:left="0"/>
        <w:jc w:val="left"/>
      </w:pPr>
      <w:r>
        <w:rPr>
          <w:rFonts w:ascii="Arial" w:hAnsi="Arial" w:eastAsia="等线" w:cs="Arial"/>
          <w:sz w:val="22"/>
        </w:rPr>
        <w:t>另外，泰安市地下空间开发存在规划衔接不畅、功能碎片化等问题，本项目地下空间开发难以与校园整体规划及城市地下空间规划形成有效衔接，无法发挥地下空间的综合效益，反而会增加后期整合难度与成本。</w:t>
      </w:r>
    </w:p>
    <w:p w14:paraId="1FDCA033">
      <w:pPr>
        <w:spacing w:before="320" w:after="120" w:line="288" w:lineRule="auto"/>
        <w:ind w:left="0"/>
        <w:jc w:val="left"/>
        <w:outlineLvl w:val="1"/>
      </w:pPr>
      <w:bookmarkStart w:id="8" w:name="heading_8"/>
      <w:r>
        <w:rPr>
          <w:rFonts w:ascii="Arial" w:hAnsi="Arial" w:eastAsia="等线" w:cs="Arial"/>
          <w:b/>
          <w:sz w:val="32"/>
        </w:rPr>
        <w:t>四、论证结论</w:t>
      </w:r>
      <w:bookmarkEnd w:id="8"/>
    </w:p>
    <w:p w14:paraId="09A2F92F">
      <w:pPr>
        <w:spacing w:before="120" w:after="120" w:line="288" w:lineRule="auto"/>
        <w:ind w:left="0"/>
        <w:jc w:val="left"/>
      </w:pPr>
      <w:r>
        <w:rPr>
          <w:rFonts w:ascii="Arial" w:hAnsi="Arial" w:eastAsia="等线" w:cs="Arial"/>
          <w:sz w:val="22"/>
        </w:rPr>
        <w:t>综合以上论证，松筠·青绿方舟大学生活动中心项目开发利用地下空间，存在地质水文条件制约、与绿色建筑理念相悖、功能需求无必要、开发成本过高、周边环境限制等多重问题，开发风险高、可行性低，且无法实现项目“低碳环保、环境效益与经济效益双赢”的核心目标，还可能对周边校园设施、环境及师生安全造成不利影响。</w:t>
      </w:r>
    </w:p>
    <w:p w14:paraId="35017616">
      <w:pPr>
        <w:spacing w:before="120" w:after="120" w:line="288" w:lineRule="auto"/>
        <w:ind w:left="0"/>
        <w:jc w:val="left"/>
      </w:pPr>
      <w:r>
        <w:rPr>
          <w:rFonts w:ascii="Arial" w:hAnsi="Arial" w:eastAsia="等线" w:cs="Arial"/>
          <w:sz w:val="22"/>
        </w:rPr>
        <w:t>因此，经全面论证，确定本项目</w:t>
      </w:r>
      <w:r>
        <w:rPr>
          <w:rFonts w:ascii="Arial" w:hAnsi="Arial" w:eastAsia="等线" w:cs="Arial"/>
          <w:b/>
          <w:sz w:val="22"/>
        </w:rPr>
        <w:t>不适宜开发利用地下空间</w:t>
      </w:r>
      <w:r>
        <w:rPr>
          <w:rFonts w:ascii="Arial" w:hAnsi="Arial" w:eastAsia="等线" w:cs="Arial"/>
          <w:sz w:val="22"/>
        </w:rPr>
        <w:t>。建议项目严格按照现有地上规划方案实施，聚焦绿色建筑技术应用，优化地上空间布局，确保项目实现低碳、安全、实用、舒适的建设目标，更好地服务于高校师生的学习与活动需求。</w:t>
      </w:r>
    </w:p>
    <w:p w14:paraId="77C21DE3">
      <w:pPr>
        <w:spacing w:before="120" w:after="120" w:line="288" w:lineRule="auto"/>
        <w:ind w:left="0"/>
        <w:jc w:val="left"/>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AE07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938A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ocumentProtection w:enforcement="0"/>
  <w:compat>
    <w:useFELayout/>
    <w:splitPgBreakAndParaMark/>
    <w:compatSetting w:name="compatibilityMode" w:uri="http://schemas.microsoft.com/office/word" w:val="12"/>
  </w:compat>
  <w:rsids>
    <w:rsidRoot w:val="00000000"/>
    <w:rsid w:val="05B66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3133</Words>
  <Characters>3188</Characters>
  <TotalTime>0</TotalTime>
  <ScaleCrop>false</ScaleCrop>
  <LinksUpToDate>false</LinksUpToDate>
  <CharactersWithSpaces>3202</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2026-03-23T12:05:00Z</dcterms:created>
  <dc:creator>Apache POI</dc:creator>
  <cp:lastModifiedBy>WPS_1642742701</cp:lastModifiedBy>
  <dcterms:modified xsi:type="dcterms:W3CDTF">2026-03-23T12:09:28Z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eyJoZGlkIjoiMzk4NjFiZjBiYzA1OGI5OGQxMzM5NDgzNTY3Y2YyYTEiLCJ1c2VySWQiOiIxMzIxMzUyMDQ2In0=</vt:lpwstr>
  </property>
  <property fmtid="{D5CDD505-2E9C-101B-9397-08002B2CF9AE}" pid="3" name="KSOProductBuildVer">
    <vt:lpwstr>2052-12.1.0.24657</vt:lpwstr>
  </property>
  <property fmtid="{D5CDD505-2E9C-101B-9397-08002B2CF9AE}" pid="4" name="ICV">
    <vt:lpwstr>FE7B774C08434416B45E2A1FD58D0EDD_12</vt:lpwstr>
  </property>
</Properties>
</file>