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0E9048">
      <w:pPr>
        <w:pStyle w:val="2"/>
        <w:jc w:val="center"/>
      </w:pPr>
    </w:p>
    <w:p w14:paraId="0B72C99C">
      <w:pPr>
        <w:pStyle w:val="2"/>
        <w:jc w:val="center"/>
      </w:pPr>
    </w:p>
    <w:p w14:paraId="60ABBC3D">
      <w:pPr>
        <w:ind w:right="790"/>
        <w:jc w:val="center"/>
        <w:rPr>
          <w:rFonts w:hint="default" w:cs="Times New Roman" w:eastAsiaTheme="minorEastAsia"/>
          <w:b/>
          <w:kern w:val="0"/>
          <w:sz w:val="36"/>
          <w:szCs w:val="36"/>
          <w:highlight w:val="none"/>
          <w:lang w:val="en-US" w:eastAsia="zh-CN"/>
        </w:rPr>
      </w:pPr>
      <w:r>
        <w:rPr>
          <w:rFonts w:hint="eastAsia" w:cs="Times New Roman"/>
          <w:b/>
          <w:kern w:val="0"/>
          <w:sz w:val="36"/>
          <w:szCs w:val="36"/>
          <w:highlight w:val="none"/>
          <w:lang w:val="en-US" w:eastAsia="zh-CN"/>
        </w:rPr>
        <w:t>盛世·檀悦项目</w:t>
      </w:r>
    </w:p>
    <w:p w14:paraId="3F6AA9C4">
      <w:pPr>
        <w:pStyle w:val="2"/>
        <w:jc w:val="center"/>
      </w:pPr>
      <w:r>
        <w:rPr>
          <w:rFonts w:hint="eastAsia"/>
        </w:rPr>
        <w:t>场地年径流量控制率计算书</w:t>
      </w:r>
    </w:p>
    <w:p w14:paraId="501F32D0"/>
    <w:p w14:paraId="33465C8E"/>
    <w:p w14:paraId="506147C1"/>
    <w:p w14:paraId="5607BC84"/>
    <w:p w14:paraId="04F816EE"/>
    <w:p w14:paraId="09BCAF37"/>
    <w:p w14:paraId="20BCA67A"/>
    <w:p w14:paraId="7D10B4CB"/>
    <w:p w14:paraId="757183C7">
      <w:pPr>
        <w:jc w:val="center"/>
        <w:rPr>
          <w:rFonts w:hint="default"/>
          <w:sz w:val="30"/>
          <w:szCs w:val="30"/>
          <w:lang w:val="en-US" w:eastAsia="zh-CN"/>
        </w:rPr>
      </w:pPr>
    </w:p>
    <w:p w14:paraId="019DBBBD"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咨询单位：山东博宇建筑设计有限责任公司</w:t>
      </w:r>
    </w:p>
    <w:p w14:paraId="35E6C8D9">
      <w:pPr>
        <w:jc w:val="center"/>
        <w:rPr>
          <w:rFonts w:hint="eastAsia"/>
          <w:sz w:val="30"/>
          <w:szCs w:val="30"/>
          <w:lang w:val="en-US" w:eastAsia="zh-CN"/>
        </w:rPr>
      </w:pPr>
    </w:p>
    <w:p w14:paraId="127300EF"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/>
          <w:sz w:val="30"/>
          <w:szCs w:val="30"/>
          <w:lang w:val="en-US" w:eastAsia="zh-CN"/>
        </w:rPr>
        <w:t>2026.03</w:t>
      </w:r>
    </w:p>
    <w:p w14:paraId="761C72E0">
      <w:pPr>
        <w:jc w:val="center"/>
        <w:rPr>
          <w:rFonts w:ascii="宋体" w:hAnsi="宋体" w:eastAsia="宋体"/>
          <w:sz w:val="32"/>
          <w:szCs w:val="32"/>
        </w:rPr>
      </w:pPr>
    </w:p>
    <w:p w14:paraId="669A7E75">
      <w:pPr>
        <w:jc w:val="center"/>
        <w:rPr>
          <w:rFonts w:ascii="宋体" w:hAnsi="宋体" w:eastAsia="宋体"/>
          <w:sz w:val="32"/>
          <w:szCs w:val="32"/>
        </w:rPr>
      </w:pPr>
    </w:p>
    <w:p w14:paraId="14AB898C">
      <w:pPr>
        <w:jc w:val="center"/>
        <w:rPr>
          <w:rFonts w:ascii="宋体" w:hAnsi="宋体" w:eastAsia="宋体"/>
          <w:sz w:val="32"/>
          <w:szCs w:val="32"/>
        </w:rPr>
      </w:pPr>
    </w:p>
    <w:p w14:paraId="49141D1E">
      <w:pPr>
        <w:jc w:val="left"/>
        <w:rPr>
          <w:rFonts w:hint="eastAsia" w:ascii="宋体" w:hAnsi="宋体" w:eastAsia="宋体"/>
          <w:sz w:val="32"/>
          <w:szCs w:val="32"/>
        </w:rPr>
      </w:pPr>
    </w:p>
    <w:p w14:paraId="5AC0CFC7">
      <w:pPr>
        <w:jc w:val="left"/>
        <w:rPr>
          <w:rFonts w:hint="eastAsia" w:ascii="宋体" w:hAnsi="宋体" w:eastAsia="宋体"/>
          <w:sz w:val="32"/>
          <w:szCs w:val="32"/>
        </w:rPr>
      </w:pPr>
    </w:p>
    <w:p w14:paraId="198E5720">
      <w:pPr>
        <w:jc w:val="left"/>
        <w:rPr>
          <w:rFonts w:hint="eastAsia" w:ascii="宋体" w:hAnsi="宋体" w:eastAsia="宋体"/>
          <w:sz w:val="32"/>
          <w:szCs w:val="32"/>
        </w:rPr>
      </w:pPr>
    </w:p>
    <w:p w14:paraId="79FDD458">
      <w:pPr>
        <w:jc w:val="left"/>
        <w:rPr>
          <w:rFonts w:hint="eastAsia" w:ascii="宋体" w:hAnsi="宋体" w:eastAsia="宋体"/>
          <w:sz w:val="32"/>
          <w:szCs w:val="32"/>
        </w:rPr>
      </w:pPr>
    </w:p>
    <w:p w14:paraId="579FA66B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1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项目概况</w:t>
      </w:r>
    </w:p>
    <w:p w14:paraId="17E50AA6">
      <w:pPr>
        <w:ind w:firstLine="640" w:firstLineChars="200"/>
        <w:jc w:val="left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本</w:t>
      </w:r>
      <w:r>
        <w:rPr>
          <w:rFonts w:hint="eastAsia" w:ascii="宋体" w:hAnsi="宋体" w:eastAsia="宋体"/>
          <w:sz w:val="32"/>
          <w:szCs w:val="32"/>
        </w:rPr>
        <w:t>项目位于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泰安市东平县</w:t>
      </w:r>
      <w:r>
        <w:rPr>
          <w:rFonts w:hint="eastAsia" w:ascii="宋体" w:hAnsi="宋体" w:eastAsia="宋体"/>
          <w:sz w:val="32"/>
          <w:szCs w:val="32"/>
        </w:rPr>
        <w:t xml:space="preserve">。该项目总用地面积为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24274</w:t>
      </w:r>
      <w:r>
        <w:rPr>
          <w:rFonts w:hint="eastAsia" w:ascii="宋体" w:hAnsi="宋体" w:eastAsia="宋体"/>
          <w:sz w:val="32"/>
          <w:szCs w:val="32"/>
        </w:rPr>
        <w:t xml:space="preserve"> 平方米，建筑面积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64672.66</w:t>
      </w:r>
      <w:r>
        <w:rPr>
          <w:rFonts w:hint="eastAsia" w:ascii="宋体" w:hAnsi="宋体" w:eastAsia="宋体"/>
          <w:sz w:val="32"/>
          <w:szCs w:val="32"/>
        </w:rPr>
        <w:t xml:space="preserve">平方米，总户数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288</w:t>
      </w:r>
      <w:r>
        <w:rPr>
          <w:rFonts w:hint="eastAsia" w:ascii="宋体" w:hAnsi="宋体" w:eastAsia="宋体"/>
          <w:sz w:val="32"/>
          <w:szCs w:val="32"/>
        </w:rPr>
        <w:t xml:space="preserve"> ，总人数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922</w:t>
      </w:r>
      <w:r>
        <w:rPr>
          <w:rFonts w:hint="eastAsia" w:ascii="宋体" w:hAnsi="宋体" w:eastAsia="宋体"/>
          <w:sz w:val="32"/>
          <w:szCs w:val="32"/>
        </w:rPr>
        <w:t xml:space="preserve"> 人，绿地率为 3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5.01</w:t>
      </w:r>
      <w:r>
        <w:rPr>
          <w:rFonts w:hint="eastAsia" w:ascii="宋体" w:hAnsi="宋体" w:eastAsia="宋体"/>
          <w:sz w:val="32"/>
          <w:szCs w:val="32"/>
        </w:rPr>
        <w:t>% 。</w:t>
      </w:r>
    </w:p>
    <w:p w14:paraId="2554611C">
      <w:pPr>
        <w:ind w:firstLine="640" w:firstLineChars="200"/>
        <w:jc w:val="left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工程设计类别、等级：住宅小区、二级。主要经济技术指标：总用地面积2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427</w:t>
      </w:r>
      <w:r>
        <w:rPr>
          <w:rFonts w:hint="eastAsia" w:ascii="宋体" w:hAnsi="宋体" w:eastAsia="宋体"/>
          <w:sz w:val="32"/>
          <w:szCs w:val="32"/>
        </w:rPr>
        <w:t>4.00平方米，总建筑面积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64672.66</w:t>
      </w:r>
      <w:r>
        <w:rPr>
          <w:rFonts w:hint="eastAsia" w:ascii="宋体" w:hAnsi="宋体" w:eastAsia="宋体"/>
          <w:sz w:val="32"/>
          <w:szCs w:val="32"/>
        </w:rPr>
        <w:t>平方米，其中地上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48514.29</w:t>
      </w:r>
      <w:r>
        <w:rPr>
          <w:rFonts w:hint="eastAsia" w:ascii="宋体" w:hAnsi="宋体" w:eastAsia="宋体"/>
          <w:sz w:val="32"/>
          <w:szCs w:val="32"/>
        </w:rPr>
        <w:t>平方米，地下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16158.37</w:t>
      </w:r>
      <w:r>
        <w:rPr>
          <w:rFonts w:hint="eastAsia" w:ascii="宋体" w:hAnsi="宋体" w:eastAsia="宋体"/>
          <w:sz w:val="32"/>
          <w:szCs w:val="32"/>
        </w:rPr>
        <w:t>平方米。建筑密度19.99%，地上容积率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1.999</w:t>
      </w:r>
      <w:r>
        <w:rPr>
          <w:rFonts w:hint="eastAsia" w:ascii="宋体" w:hAnsi="宋体" w:eastAsia="宋体"/>
          <w:sz w:val="32"/>
          <w:szCs w:val="32"/>
        </w:rPr>
        <w:t>，绿地率35.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0</w:t>
      </w:r>
      <w:r>
        <w:rPr>
          <w:rFonts w:hint="eastAsia" w:ascii="宋体" w:hAnsi="宋体" w:eastAsia="宋体"/>
          <w:sz w:val="32"/>
          <w:szCs w:val="32"/>
        </w:rPr>
        <w:t>1%。机动车停车位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326</w:t>
      </w:r>
      <w:r>
        <w:rPr>
          <w:rFonts w:hint="eastAsia" w:ascii="宋体" w:hAnsi="宋体" w:eastAsia="宋体"/>
          <w:sz w:val="32"/>
          <w:szCs w:val="32"/>
        </w:rPr>
        <w:t>辆，非机动车停车位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302</w:t>
      </w:r>
      <w:r>
        <w:rPr>
          <w:rFonts w:hint="eastAsia" w:ascii="宋体" w:hAnsi="宋体" w:eastAsia="宋体"/>
          <w:sz w:val="32"/>
          <w:szCs w:val="32"/>
        </w:rPr>
        <w:t>辆。</w:t>
      </w:r>
    </w:p>
    <w:p w14:paraId="47408FA6">
      <w:pPr>
        <w:ind w:firstLine="420"/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eastAsia="宋体"/>
          <w:sz w:val="24"/>
          <w:lang w:eastAsia="zh-CN"/>
        </w:rPr>
        <w:drawing>
          <wp:inline distT="0" distB="0" distL="114300" distR="114300">
            <wp:extent cx="4955540" cy="3287395"/>
            <wp:effectExtent l="0" t="0" r="16510" b="8255"/>
            <wp:docPr id="5" name="图片 2" descr="鸟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鸟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F3FC4">
      <w:pPr>
        <w:ind w:firstLine="420"/>
        <w:rPr>
          <w:rFonts w:hint="eastAsia" w:ascii="宋体" w:hAnsi="宋体" w:eastAsia="宋体"/>
          <w:sz w:val="32"/>
          <w:szCs w:val="32"/>
          <w:lang w:eastAsia="zh-CN"/>
        </w:rPr>
      </w:pPr>
    </w:p>
    <w:p w14:paraId="6C89FC19"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图1项目鸟瞰图</w:t>
      </w:r>
    </w:p>
    <w:p w14:paraId="379CAD03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2</w:t>
      </w:r>
      <w:r>
        <w:rPr>
          <w:rFonts w:ascii="宋体" w:hAnsi="宋体" w:eastAsia="宋体"/>
          <w:sz w:val="32"/>
          <w:szCs w:val="32"/>
        </w:rPr>
        <w:t xml:space="preserve">. </w:t>
      </w:r>
      <w:r>
        <w:rPr>
          <w:rFonts w:hint="eastAsia" w:ascii="宋体" w:hAnsi="宋体" w:eastAsia="宋体"/>
          <w:sz w:val="32"/>
          <w:szCs w:val="32"/>
        </w:rPr>
        <w:t>气象条件</w:t>
      </w:r>
    </w:p>
    <w:p w14:paraId="1A25CE35">
      <w:pPr>
        <w:jc w:val="center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泰安市位于山东省中部，地处鲁中南丘陵与鲁西平原的过渡地带，属暖温带大陆性季风气候区。这种气候类型决定了泰安市全年四季分明、雨热同期、光照充足的基本格局。根据气象部门长期观测数据，泰安市年平均气温约为13摄氏度，年降水量在6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97</w:t>
      </w:r>
      <w:r>
        <w:rPr>
          <w:rFonts w:hint="eastAsia" w:ascii="宋体" w:hAnsi="宋体" w:eastAsia="宋体"/>
          <w:sz w:val="32"/>
          <w:szCs w:val="32"/>
        </w:rPr>
        <w:t>至7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35</w:t>
      </w:r>
      <w:r>
        <w:rPr>
          <w:rFonts w:hint="eastAsia" w:ascii="宋体" w:hAnsi="宋体" w:eastAsia="宋体"/>
          <w:sz w:val="32"/>
          <w:szCs w:val="32"/>
        </w:rPr>
        <w:t>毫米之间，无霜期平均200天左右。境内地形复杂多样，泰山主峰海拔1545米，垂直气候差异显著，形成了山下平原与山顶高地截然不同的气候景观。</w:t>
      </w:r>
    </w:p>
    <w:p w14:paraId="2FBAADC5"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表1年降雨量气候资料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634"/>
        <w:gridCol w:w="633"/>
        <w:gridCol w:w="632"/>
        <w:gridCol w:w="632"/>
        <w:gridCol w:w="633"/>
        <w:gridCol w:w="634"/>
        <w:gridCol w:w="666"/>
        <w:gridCol w:w="666"/>
        <w:gridCol w:w="634"/>
        <w:gridCol w:w="663"/>
        <w:gridCol w:w="663"/>
        <w:gridCol w:w="606"/>
      </w:tblGrid>
      <w:tr w14:paraId="39A7B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 w14:paraId="0B514C1F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月份</w:t>
            </w:r>
          </w:p>
        </w:tc>
        <w:tc>
          <w:tcPr>
            <w:tcW w:w="634" w:type="dxa"/>
          </w:tcPr>
          <w:p w14:paraId="5BBF3D76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</w:p>
        </w:tc>
        <w:tc>
          <w:tcPr>
            <w:tcW w:w="633" w:type="dxa"/>
          </w:tcPr>
          <w:p w14:paraId="4A2E3D33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</w:p>
        </w:tc>
        <w:tc>
          <w:tcPr>
            <w:tcW w:w="632" w:type="dxa"/>
          </w:tcPr>
          <w:p w14:paraId="6A4ABE59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3</w:t>
            </w:r>
          </w:p>
        </w:tc>
        <w:tc>
          <w:tcPr>
            <w:tcW w:w="632" w:type="dxa"/>
          </w:tcPr>
          <w:p w14:paraId="5A29ACB4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4</w:t>
            </w:r>
          </w:p>
        </w:tc>
        <w:tc>
          <w:tcPr>
            <w:tcW w:w="633" w:type="dxa"/>
          </w:tcPr>
          <w:p w14:paraId="6CAB90EC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5</w:t>
            </w:r>
          </w:p>
        </w:tc>
        <w:tc>
          <w:tcPr>
            <w:tcW w:w="634" w:type="dxa"/>
          </w:tcPr>
          <w:p w14:paraId="256E7BC8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</w:p>
        </w:tc>
        <w:tc>
          <w:tcPr>
            <w:tcW w:w="634" w:type="dxa"/>
          </w:tcPr>
          <w:p w14:paraId="44FE6752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7</w:t>
            </w:r>
          </w:p>
        </w:tc>
        <w:tc>
          <w:tcPr>
            <w:tcW w:w="634" w:type="dxa"/>
          </w:tcPr>
          <w:p w14:paraId="02E02B65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8</w:t>
            </w:r>
          </w:p>
        </w:tc>
        <w:tc>
          <w:tcPr>
            <w:tcW w:w="634" w:type="dxa"/>
          </w:tcPr>
          <w:p w14:paraId="271C4884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</w:p>
        </w:tc>
        <w:tc>
          <w:tcPr>
            <w:tcW w:w="663" w:type="dxa"/>
          </w:tcPr>
          <w:p w14:paraId="6BE99DAC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0</w:t>
            </w:r>
          </w:p>
        </w:tc>
        <w:tc>
          <w:tcPr>
            <w:tcW w:w="663" w:type="dxa"/>
          </w:tcPr>
          <w:p w14:paraId="052378DA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1</w:t>
            </w:r>
          </w:p>
        </w:tc>
        <w:tc>
          <w:tcPr>
            <w:tcW w:w="606" w:type="dxa"/>
          </w:tcPr>
          <w:p w14:paraId="13E7DF89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2</w:t>
            </w:r>
          </w:p>
        </w:tc>
      </w:tr>
      <w:tr w14:paraId="024F2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 w14:paraId="5437D9E0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降雨量（mm）</w:t>
            </w:r>
          </w:p>
        </w:tc>
        <w:tc>
          <w:tcPr>
            <w:tcW w:w="634" w:type="dxa"/>
          </w:tcPr>
          <w:p w14:paraId="0EE7D03B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  <w:r>
              <w:rPr>
                <w:rFonts w:ascii="宋体" w:hAnsi="宋体" w:eastAsia="宋体"/>
                <w:sz w:val="18"/>
                <w:szCs w:val="18"/>
              </w:rPr>
              <w:t>.4</w:t>
            </w:r>
          </w:p>
        </w:tc>
        <w:tc>
          <w:tcPr>
            <w:tcW w:w="633" w:type="dxa"/>
          </w:tcPr>
          <w:p w14:paraId="58DEC530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7</w:t>
            </w:r>
            <w:r>
              <w:rPr>
                <w:rFonts w:ascii="宋体" w:hAnsi="宋体" w:eastAsia="宋体"/>
                <w:sz w:val="18"/>
                <w:szCs w:val="18"/>
              </w:rPr>
              <w:t>.4</w:t>
            </w:r>
          </w:p>
        </w:tc>
        <w:tc>
          <w:tcPr>
            <w:tcW w:w="632" w:type="dxa"/>
          </w:tcPr>
          <w:p w14:paraId="365C941A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8.3</w:t>
            </w:r>
          </w:p>
        </w:tc>
        <w:tc>
          <w:tcPr>
            <w:tcW w:w="632" w:type="dxa"/>
          </w:tcPr>
          <w:p w14:paraId="4CA873CF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  <w:r>
              <w:rPr>
                <w:rFonts w:ascii="宋体" w:hAnsi="宋体" w:eastAsia="宋体"/>
                <w:sz w:val="18"/>
                <w:szCs w:val="18"/>
              </w:rPr>
              <w:t>7.0</w:t>
            </w:r>
          </w:p>
        </w:tc>
        <w:tc>
          <w:tcPr>
            <w:tcW w:w="633" w:type="dxa"/>
          </w:tcPr>
          <w:p w14:paraId="17D1BE03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4</w:t>
            </w:r>
            <w:r>
              <w:rPr>
                <w:rFonts w:ascii="宋体" w:hAnsi="宋体" w:eastAsia="宋体"/>
                <w:sz w:val="18"/>
                <w:szCs w:val="18"/>
              </w:rPr>
              <w:t>3.6</w:t>
            </w:r>
          </w:p>
        </w:tc>
        <w:tc>
          <w:tcPr>
            <w:tcW w:w="634" w:type="dxa"/>
          </w:tcPr>
          <w:p w14:paraId="1D4420FC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  <w:r>
              <w:rPr>
                <w:rFonts w:ascii="宋体" w:hAnsi="宋体" w:eastAsia="宋体"/>
                <w:sz w:val="18"/>
                <w:szCs w:val="18"/>
              </w:rPr>
              <w:t>0.6</w:t>
            </w:r>
          </w:p>
        </w:tc>
        <w:tc>
          <w:tcPr>
            <w:tcW w:w="634" w:type="dxa"/>
          </w:tcPr>
          <w:p w14:paraId="1C85894D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  <w:r>
              <w:rPr>
                <w:rFonts w:ascii="宋体" w:hAnsi="宋体" w:eastAsia="宋体"/>
                <w:sz w:val="18"/>
                <w:szCs w:val="18"/>
              </w:rPr>
              <w:t>09.9</w:t>
            </w:r>
          </w:p>
        </w:tc>
        <w:tc>
          <w:tcPr>
            <w:tcW w:w="634" w:type="dxa"/>
          </w:tcPr>
          <w:p w14:paraId="3F0A0E09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51.4</w:t>
            </w:r>
          </w:p>
        </w:tc>
        <w:tc>
          <w:tcPr>
            <w:tcW w:w="634" w:type="dxa"/>
          </w:tcPr>
          <w:p w14:paraId="3C26F5CD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  <w:r>
              <w:rPr>
                <w:rFonts w:ascii="宋体" w:hAnsi="宋体" w:eastAsia="宋体"/>
                <w:sz w:val="18"/>
                <w:szCs w:val="18"/>
              </w:rPr>
              <w:t>5.6</w:t>
            </w:r>
          </w:p>
        </w:tc>
        <w:tc>
          <w:tcPr>
            <w:tcW w:w="663" w:type="dxa"/>
          </w:tcPr>
          <w:p w14:paraId="75178387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3</w:t>
            </w:r>
            <w:r>
              <w:rPr>
                <w:rFonts w:ascii="宋体" w:hAnsi="宋体" w:eastAsia="宋体"/>
                <w:sz w:val="18"/>
                <w:szCs w:val="18"/>
              </w:rPr>
              <w:t>9.6</w:t>
            </w:r>
          </w:p>
        </w:tc>
        <w:tc>
          <w:tcPr>
            <w:tcW w:w="663" w:type="dxa"/>
          </w:tcPr>
          <w:p w14:paraId="3D47D8A4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1.7</w:t>
            </w:r>
          </w:p>
        </w:tc>
        <w:tc>
          <w:tcPr>
            <w:tcW w:w="606" w:type="dxa"/>
          </w:tcPr>
          <w:p w14:paraId="60A0FD58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  <w:r>
              <w:rPr>
                <w:rFonts w:ascii="宋体" w:hAnsi="宋体" w:eastAsia="宋体"/>
                <w:sz w:val="18"/>
                <w:szCs w:val="18"/>
              </w:rPr>
              <w:t>.7</w:t>
            </w:r>
          </w:p>
        </w:tc>
      </w:tr>
    </w:tbl>
    <w:p w14:paraId="522C86A6">
      <w:pPr>
        <w:rPr>
          <w:rFonts w:ascii="宋体" w:hAnsi="宋体" w:eastAsia="宋体"/>
          <w:sz w:val="32"/>
          <w:szCs w:val="32"/>
        </w:rPr>
      </w:pPr>
    </w:p>
    <w:p w14:paraId="393CBE5E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场地径流量控制措施</w:t>
      </w:r>
    </w:p>
    <w:p w14:paraId="222394C8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</w:t>
      </w:r>
      <w:r>
        <w:rPr>
          <w:rFonts w:ascii="宋体" w:hAnsi="宋体" w:eastAsia="宋体"/>
          <w:sz w:val="32"/>
          <w:szCs w:val="32"/>
        </w:rPr>
        <w:t xml:space="preserve">.1 </w:t>
      </w:r>
      <w:r>
        <w:rPr>
          <w:rFonts w:hint="eastAsia" w:ascii="宋体" w:hAnsi="宋体" w:eastAsia="宋体"/>
          <w:sz w:val="32"/>
          <w:szCs w:val="32"/>
        </w:rPr>
        <w:t>透水铺装</w:t>
      </w:r>
    </w:p>
    <w:p w14:paraId="34C6B665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</w:p>
    <w:p w14:paraId="52325281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本项目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院</w:t>
      </w:r>
      <w:r>
        <w:rPr>
          <w:rFonts w:hint="eastAsia" w:ascii="宋体" w:hAnsi="宋体" w:eastAsia="宋体"/>
          <w:sz w:val="32"/>
          <w:szCs w:val="32"/>
        </w:rPr>
        <w:t>区内道路，停车场所、活动场等都采用透水铺装，透水铺装面积达到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4810</w:t>
      </w:r>
      <w:r>
        <w:rPr>
          <w:rFonts w:hint="eastAsia" w:ascii="宋体" w:hAnsi="宋体" w:eastAsia="宋体"/>
          <w:sz w:val="32"/>
          <w:szCs w:val="32"/>
        </w:rPr>
        <w:t>㎡，主要铺装材料为透水砖。</w:t>
      </w:r>
    </w:p>
    <w:p w14:paraId="210683A2">
      <w:pPr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  <w:lang w:eastAsia="zh-CN"/>
        </w:rPr>
        <w:drawing>
          <wp:inline distT="0" distB="0" distL="114300" distR="114300">
            <wp:extent cx="5271135" cy="3554730"/>
            <wp:effectExtent l="0" t="0" r="5715" b="7620"/>
            <wp:docPr id="6" name="图片 6" descr="8008c908-cc14-4982-b16c-7c8f68254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008c908-cc14-4982-b16c-7c8f68254ea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DD46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</w:t>
      </w:r>
      <w:r>
        <w:rPr>
          <w:rFonts w:ascii="宋体" w:hAnsi="宋体" w:eastAsia="宋体"/>
          <w:sz w:val="32"/>
          <w:szCs w:val="32"/>
        </w:rPr>
        <w:t xml:space="preserve">.2 </w:t>
      </w:r>
      <w:r>
        <w:rPr>
          <w:rFonts w:hint="eastAsia" w:ascii="宋体" w:hAnsi="宋体" w:eastAsia="宋体"/>
          <w:sz w:val="32"/>
          <w:szCs w:val="32"/>
        </w:rPr>
        <w:t>下凹式绿地及树池</w:t>
      </w:r>
    </w:p>
    <w:p w14:paraId="48A47C57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根据本项目的用地规划，本项目在各个活动场地分散设置了树池及花池。根据景观统计，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下沉绿地</w:t>
      </w:r>
      <w:r>
        <w:rPr>
          <w:rFonts w:hint="eastAsia" w:ascii="宋体" w:hAnsi="宋体" w:eastAsia="宋体"/>
          <w:sz w:val="32"/>
          <w:szCs w:val="32"/>
        </w:rPr>
        <w:t>面积为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3890</w:t>
      </w:r>
      <w:r>
        <w:rPr>
          <w:rFonts w:hint="eastAsia" w:ascii="宋体" w:hAnsi="宋体" w:eastAsia="宋体"/>
          <w:sz w:val="32"/>
          <w:szCs w:val="32"/>
        </w:rPr>
        <w:t>㎡，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绿地总面积为8496㎡，</w:t>
      </w:r>
      <w:r>
        <w:rPr>
          <w:rFonts w:hint="eastAsia" w:ascii="宋体" w:hAnsi="宋体" w:eastAsia="宋体"/>
          <w:sz w:val="32"/>
          <w:szCs w:val="32"/>
        </w:rPr>
        <w:t>平均调蓄水深约为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15</w:t>
      </w:r>
      <w:r>
        <w:rPr>
          <w:rFonts w:ascii="宋体" w:hAnsi="宋体" w:eastAsia="宋体"/>
          <w:sz w:val="32"/>
          <w:szCs w:val="32"/>
        </w:rPr>
        <w:t>cm-40cm</w:t>
      </w:r>
      <w:r>
        <w:rPr>
          <w:rFonts w:hint="eastAsia" w:ascii="宋体" w:hAnsi="宋体" w:eastAsia="宋体"/>
          <w:sz w:val="32"/>
          <w:szCs w:val="32"/>
        </w:rPr>
        <w:t>。场地径流量控制率按最低值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10</w:t>
      </w:r>
      <w:r>
        <w:rPr>
          <w:rFonts w:ascii="宋体" w:hAnsi="宋体" w:eastAsia="宋体"/>
          <w:sz w:val="32"/>
          <w:szCs w:val="32"/>
        </w:rPr>
        <w:t>cm</w:t>
      </w:r>
      <w:r>
        <w:rPr>
          <w:rFonts w:hint="eastAsia" w:ascii="宋体" w:hAnsi="宋体" w:eastAsia="宋体"/>
          <w:sz w:val="32"/>
          <w:szCs w:val="32"/>
        </w:rPr>
        <w:t>计算。</w:t>
      </w:r>
    </w:p>
    <w:p w14:paraId="543CEAD9"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2522855" cy="1679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8190" cy="169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2396490" cy="166179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7768" cy="16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34A6D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4场地径流量控制率计算</w:t>
      </w:r>
    </w:p>
    <w:p w14:paraId="4DAE2199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4</w:t>
      </w:r>
      <w:r>
        <w:rPr>
          <w:rFonts w:ascii="宋体" w:hAnsi="宋体" w:eastAsia="宋体"/>
          <w:sz w:val="32"/>
          <w:szCs w:val="32"/>
        </w:rPr>
        <w:t xml:space="preserve">.1 </w:t>
      </w:r>
      <w:r>
        <w:rPr>
          <w:rFonts w:hint="eastAsia" w:ascii="宋体" w:hAnsi="宋体" w:eastAsia="宋体"/>
          <w:sz w:val="32"/>
          <w:szCs w:val="32"/>
        </w:rPr>
        <w:t>设计控制降雨量</w:t>
      </w:r>
    </w:p>
    <w:p w14:paraId="33AEC883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根据现行国家标准《绿色建筑评价标准》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D</w:t>
      </w:r>
      <w:r>
        <w:rPr>
          <w:rFonts w:ascii="宋体" w:hAnsi="宋体" w:eastAsia="宋体"/>
          <w:sz w:val="32"/>
          <w:szCs w:val="32"/>
        </w:rPr>
        <w:t>B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37</w:t>
      </w:r>
      <w:r>
        <w:rPr>
          <w:rFonts w:ascii="宋体" w:hAnsi="宋体" w:eastAsia="宋体"/>
          <w:sz w:val="32"/>
          <w:szCs w:val="32"/>
        </w:rPr>
        <w:t>/T-50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97</w:t>
      </w:r>
      <w:r>
        <w:rPr>
          <w:rFonts w:ascii="宋体" w:hAnsi="宋体" w:eastAsia="宋体"/>
          <w:sz w:val="32"/>
          <w:szCs w:val="32"/>
        </w:rPr>
        <w:t>-20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21</w:t>
      </w:r>
      <w:r>
        <w:rPr>
          <w:rFonts w:hint="eastAsia" w:ascii="宋体" w:hAnsi="宋体" w:eastAsia="宋体"/>
          <w:sz w:val="32"/>
          <w:szCs w:val="32"/>
        </w:rPr>
        <w:t>，部分地区年径流量对应的设计控制雨量见表2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若达到</w:t>
      </w:r>
      <w:r>
        <w:rPr>
          <w:rFonts w:ascii="宋体" w:hAnsi="宋体" w:eastAsia="宋体"/>
          <w:sz w:val="32"/>
          <w:szCs w:val="32"/>
        </w:rPr>
        <w:t>7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ascii="宋体" w:hAnsi="宋体" w:eastAsia="宋体"/>
          <w:sz w:val="32"/>
          <w:szCs w:val="32"/>
        </w:rPr>
        <w:t>%</w:t>
      </w:r>
      <w:r>
        <w:rPr>
          <w:rFonts w:hint="eastAsia" w:ascii="宋体" w:hAnsi="宋体" w:eastAsia="宋体"/>
          <w:sz w:val="32"/>
          <w:szCs w:val="32"/>
        </w:rPr>
        <w:t>年径流量控制率，即设计控制雨量为</w:t>
      </w:r>
      <w:r>
        <w:rPr>
          <w:rFonts w:ascii="宋体" w:hAnsi="宋体" w:eastAsia="宋体"/>
          <w:sz w:val="32"/>
          <w:szCs w:val="32"/>
        </w:rPr>
        <w:t>2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8.5</w:t>
      </w:r>
      <w:r>
        <w:rPr>
          <w:rFonts w:ascii="宋体" w:hAnsi="宋体" w:eastAsia="宋体"/>
          <w:sz w:val="32"/>
          <w:szCs w:val="32"/>
        </w:rPr>
        <w:t>mm</w:t>
      </w:r>
      <w:r>
        <w:rPr>
          <w:rFonts w:hint="eastAsia" w:ascii="宋体" w:hAnsi="宋体" w:eastAsia="宋体"/>
          <w:sz w:val="32"/>
          <w:szCs w:val="32"/>
        </w:rPr>
        <w:t>。场地内雨水径流面积为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28634</w:t>
      </w:r>
      <w:r>
        <w:rPr>
          <w:rFonts w:hint="eastAsia" w:ascii="宋体" w:hAnsi="宋体" w:eastAsia="宋体"/>
          <w:sz w:val="32"/>
          <w:szCs w:val="32"/>
        </w:rPr>
        <w:t>㎡</w:t>
      </w:r>
    </w:p>
    <w:p w14:paraId="6B44250D">
      <w:pPr>
        <w:jc w:val="left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则建设项目场地内设计降雨量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控制</w:t>
      </w:r>
      <w:r>
        <w:rPr>
          <w:rFonts w:hint="eastAsia" w:ascii="宋体" w:hAnsi="宋体" w:eastAsia="宋体"/>
          <w:sz w:val="32"/>
          <w:szCs w:val="32"/>
        </w:rPr>
        <w:t>量为：</w:t>
      </w:r>
    </w:p>
    <w:p w14:paraId="3961E822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V</w:t>
      </w:r>
      <w:r>
        <w:rPr>
          <w:rFonts w:ascii="宋体" w:hAnsi="宋体" w:eastAsia="宋体"/>
          <w:sz w:val="32"/>
          <w:szCs w:val="32"/>
        </w:rPr>
        <w:t xml:space="preserve"> = 2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8.5</w:t>
      </w:r>
      <w:r>
        <w:rPr>
          <w:rFonts w:ascii="宋体" w:hAnsi="宋体" w:eastAsia="宋体"/>
          <w:sz w:val="32"/>
          <w:szCs w:val="32"/>
        </w:rPr>
        <w:t>/1000 ×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28634</w:t>
      </w:r>
      <w:r>
        <w:rPr>
          <w:rFonts w:ascii="宋体" w:hAnsi="宋体" w:eastAsia="宋体"/>
          <w:sz w:val="32"/>
          <w:szCs w:val="32"/>
        </w:rPr>
        <w:t xml:space="preserve"> =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816.069</w:t>
      </w:r>
      <w:r>
        <w:rPr>
          <w:rFonts w:ascii="宋体" w:hAnsi="宋体" w:eastAsia="宋体"/>
          <w:sz w:val="32"/>
          <w:szCs w:val="32"/>
        </w:rPr>
        <w:t>m³</w:t>
      </w:r>
      <w:r>
        <w:rPr>
          <w:rFonts w:hint="eastAsia" w:ascii="宋体" w:hAnsi="宋体" w:eastAsia="宋体"/>
          <w:sz w:val="32"/>
          <w:szCs w:val="32"/>
        </w:rPr>
        <w:t>。</w:t>
      </w:r>
    </w:p>
    <w:p w14:paraId="4E84A5A5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则降雨总量为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816.069</w:t>
      </w:r>
      <w:r>
        <w:rPr>
          <w:rFonts w:hint="eastAsia" w:ascii="宋体" w:hAnsi="宋体" w:eastAsia="宋体"/>
          <w:sz w:val="32"/>
          <w:szCs w:val="32"/>
        </w:rPr>
        <w:t>/</w:t>
      </w:r>
      <w:r>
        <w:rPr>
          <w:rFonts w:ascii="宋体" w:hAnsi="宋体" w:eastAsia="宋体"/>
          <w:sz w:val="32"/>
          <w:szCs w:val="32"/>
        </w:rPr>
        <w:t>0.7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ascii="宋体" w:hAnsi="宋体" w:eastAsia="宋体"/>
          <w:sz w:val="32"/>
          <w:szCs w:val="32"/>
        </w:rPr>
        <w:t>=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1088.092</w:t>
      </w:r>
      <w:r>
        <w:rPr>
          <w:rFonts w:ascii="宋体" w:hAnsi="宋体" w:eastAsia="宋体"/>
          <w:sz w:val="32"/>
          <w:szCs w:val="32"/>
        </w:rPr>
        <w:t>m³</w:t>
      </w:r>
    </w:p>
    <w:p w14:paraId="6CFE550E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"C:\\Users\\Documents\\Tencent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</w:p>
    <w:p w14:paraId="6B5FBEC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雨量径流系数及面积见小表：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 w14:paraId="3FC75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6A957A1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下垫面种类</w:t>
            </w:r>
          </w:p>
        </w:tc>
        <w:tc>
          <w:tcPr>
            <w:tcW w:w="2840" w:type="dxa"/>
          </w:tcPr>
          <w:p w14:paraId="2E2AD092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雨量径流系数</w:t>
            </w:r>
          </w:p>
        </w:tc>
        <w:tc>
          <w:tcPr>
            <w:tcW w:w="2840" w:type="dxa"/>
          </w:tcPr>
          <w:p w14:paraId="1B47F187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面积（</w:t>
            </w:r>
            <w:r>
              <w:rPr>
                <w:rFonts w:hint="eastAsia"/>
                <w:lang w:val="en-US" w:eastAsia="zh-CN"/>
              </w:rPr>
              <w:t>㎡）</w:t>
            </w:r>
          </w:p>
        </w:tc>
      </w:tr>
      <w:tr w14:paraId="64D02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F5952DB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硬屋面、未铺石子的平屋面</w:t>
            </w:r>
          </w:p>
        </w:tc>
        <w:tc>
          <w:tcPr>
            <w:tcW w:w="2840" w:type="dxa"/>
          </w:tcPr>
          <w:p w14:paraId="05955A20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0.85</w:t>
            </w:r>
          </w:p>
        </w:tc>
        <w:tc>
          <w:tcPr>
            <w:tcW w:w="2840" w:type="dxa"/>
          </w:tcPr>
          <w:p w14:paraId="0F50A40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5727</w:t>
            </w:r>
          </w:p>
        </w:tc>
      </w:tr>
      <w:tr w14:paraId="79F43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0CA638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绿化</w:t>
            </w:r>
          </w:p>
        </w:tc>
        <w:tc>
          <w:tcPr>
            <w:tcW w:w="2840" w:type="dxa"/>
          </w:tcPr>
          <w:p w14:paraId="2E5BC60D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0.15</w:t>
            </w:r>
          </w:p>
        </w:tc>
        <w:tc>
          <w:tcPr>
            <w:tcW w:w="2840" w:type="dxa"/>
          </w:tcPr>
          <w:p w14:paraId="2101C04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8496</w:t>
            </w:r>
          </w:p>
        </w:tc>
      </w:tr>
      <w:tr w14:paraId="67313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44DA78D6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透水铺装地面</w:t>
            </w:r>
          </w:p>
        </w:tc>
        <w:tc>
          <w:tcPr>
            <w:tcW w:w="2840" w:type="dxa"/>
          </w:tcPr>
          <w:p w14:paraId="28F5C0EF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0.34</w:t>
            </w:r>
          </w:p>
        </w:tc>
        <w:tc>
          <w:tcPr>
            <w:tcW w:w="2840" w:type="dxa"/>
          </w:tcPr>
          <w:p w14:paraId="3D226A39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4810</w:t>
            </w:r>
          </w:p>
        </w:tc>
      </w:tr>
      <w:tr w14:paraId="760E5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467207E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不透水铺装</w:t>
            </w:r>
          </w:p>
        </w:tc>
        <w:tc>
          <w:tcPr>
            <w:tcW w:w="2840" w:type="dxa"/>
          </w:tcPr>
          <w:p w14:paraId="59C112D5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0.85</w:t>
            </w:r>
          </w:p>
        </w:tc>
        <w:tc>
          <w:tcPr>
            <w:tcW w:w="2840" w:type="dxa"/>
          </w:tcPr>
          <w:p w14:paraId="408191F0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</w:t>
            </w:r>
          </w:p>
        </w:tc>
      </w:tr>
    </w:tbl>
    <w:p w14:paraId="58E96B2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场地综合径流系数：</w:t>
      </w:r>
    </w:p>
    <w:p w14:paraId="27731CEB">
      <w:pPr>
        <w:numPr>
          <w:ilvl w:val="0"/>
          <w:numId w:val="0"/>
        </w:numPr>
        <w:ind w:firstLine="600" w:firstLineChars="200"/>
        <w:rPr>
          <w:rFonts w:ascii="宋体" w:hAnsi="宋体"/>
          <w:position w:val="-46"/>
          <w:sz w:val="30"/>
          <w:szCs w:val="30"/>
        </w:rPr>
      </w:pPr>
      <w:r>
        <w:rPr>
          <w:rFonts w:ascii="宋体" w:hAnsi="宋体"/>
          <w:position w:val="-66"/>
          <w:sz w:val="30"/>
          <w:szCs w:val="30"/>
        </w:rPr>
        <w:object>
          <v:shape id="_x0000_i1025" o:spt="75" alt="" type="#_x0000_t75" style="height:72pt;width:294.9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8">
            <o:LockedField>false</o:LockedField>
          </o:OLEObject>
        </w:object>
      </w:r>
    </w:p>
    <w:p w14:paraId="0F140BE6">
      <w:pPr>
        <w:numPr>
          <w:ilvl w:val="0"/>
          <w:numId w:val="0"/>
        </w:numPr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</w:rPr>
        <w:t>则场地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径流总量</w:t>
      </w:r>
      <w:r>
        <w:rPr>
          <w:rFonts w:hint="eastAsia" w:ascii="宋体" w:hAnsi="宋体" w:eastAsia="宋体"/>
          <w:sz w:val="32"/>
          <w:szCs w:val="32"/>
        </w:rPr>
        <w:t>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ZCh</w:t>
      </w:r>
      <w:r>
        <w:rPr>
          <w:rFonts w:ascii="宋体" w:hAnsi="宋体" w:eastAsia="宋体"/>
          <w:sz w:val="32"/>
          <w:szCs w:val="32"/>
        </w:rPr>
        <w:t>=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657.83*0.44</w:t>
      </w:r>
      <w:r>
        <w:rPr>
          <w:rFonts w:ascii="宋体" w:hAnsi="宋体" w:eastAsia="宋体"/>
          <w:sz w:val="32"/>
          <w:szCs w:val="32"/>
        </w:rPr>
        <w:t xml:space="preserve"> =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289.45</w:t>
      </w:r>
      <w:r>
        <w:rPr>
          <w:rFonts w:ascii="宋体" w:hAnsi="宋体" w:eastAsia="宋体"/>
          <w:sz w:val="32"/>
          <w:szCs w:val="32"/>
        </w:rPr>
        <w:t>m³</w:t>
      </w:r>
      <w:r>
        <w:rPr>
          <w:rFonts w:hint="eastAsia" w:ascii="宋体" w:hAnsi="宋体" w:eastAsia="宋体"/>
          <w:sz w:val="32"/>
          <w:szCs w:val="32"/>
        </w:rPr>
        <w:t>。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下沉绿地的调蓄容积为389m³，场地内不需设雨水调蓄池。</w:t>
      </w:r>
      <w:bookmarkStart w:id="0" w:name="_GoBack"/>
      <w:bookmarkEnd w:id="0"/>
    </w:p>
    <w:p w14:paraId="0C5C3C8D">
      <w:pPr>
        <w:jc w:val="left"/>
        <w:rPr>
          <w:rFonts w:hint="default" w:ascii="宋体" w:hAnsi="宋体" w:eastAsia="宋体"/>
          <w:sz w:val="32"/>
          <w:szCs w:val="32"/>
          <w:lang w:val="en-US" w:eastAsia="zh-CN"/>
        </w:rPr>
      </w:pPr>
    </w:p>
    <w:p w14:paraId="505CC181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场地内对应的控制率能满足75%，大于规划指标要求的75%</w:t>
      </w:r>
      <w:r>
        <w:rPr>
          <w:rFonts w:hint="eastAsia" w:ascii="宋体" w:hAnsi="宋体" w:eastAsia="宋体"/>
          <w:sz w:val="32"/>
          <w:szCs w:val="32"/>
        </w:rPr>
        <w:t>。</w:t>
      </w:r>
    </w:p>
    <w:p w14:paraId="24F78D32">
      <w:pPr>
        <w:jc w:val="left"/>
        <w:rPr>
          <w:rFonts w:ascii="宋体" w:hAnsi="宋体" w:eastAsia="宋体"/>
          <w:sz w:val="32"/>
          <w:szCs w:val="32"/>
        </w:rPr>
      </w:pPr>
    </w:p>
    <w:p w14:paraId="0AA9E3C2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5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总结</w:t>
      </w:r>
    </w:p>
    <w:p w14:paraId="1984A2F6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故场地年径流量控制率大于</w:t>
      </w:r>
      <w:r>
        <w:rPr>
          <w:rFonts w:ascii="宋体" w:hAnsi="宋体" w:eastAsia="宋体"/>
          <w:sz w:val="32"/>
          <w:szCs w:val="32"/>
        </w:rPr>
        <w:t>7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ascii="宋体" w:hAnsi="宋体" w:eastAsia="宋体"/>
          <w:sz w:val="32"/>
          <w:szCs w:val="32"/>
        </w:rPr>
        <w:t>%</w:t>
      </w:r>
      <w:r>
        <w:rPr>
          <w:rFonts w:hint="eastAsia" w:ascii="宋体" w:hAnsi="宋体" w:eastAsia="宋体"/>
          <w:sz w:val="32"/>
          <w:szCs w:val="32"/>
        </w:rPr>
        <w:t>的要求。</w:t>
      </w:r>
    </w:p>
    <w:p w14:paraId="2AC72920">
      <w:pPr>
        <w:jc w:val="left"/>
        <w:rPr>
          <w:rFonts w:ascii="宋体" w:hAnsi="宋体" w:eastAsia="宋体"/>
          <w:sz w:val="32"/>
          <w:szCs w:val="32"/>
        </w:rPr>
      </w:pPr>
    </w:p>
    <w:p w14:paraId="0A2CD85F">
      <w:pPr>
        <w:jc w:val="left"/>
        <w:rPr>
          <w:rFonts w:ascii="宋体" w:hAnsi="宋体" w:eastAsia="宋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ongti SC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docVars>
    <w:docVar w:name="commondata" w:val="eyJoZGlkIjoiZmFjMGFiM2ZiMDU1ODBlZDBlZjc0MGExZDkyZmUwYTMifQ=="/>
  </w:docVars>
  <w:rsids>
    <w:rsidRoot w:val="00AF6554"/>
    <w:rsid w:val="00033A21"/>
    <w:rsid w:val="00061986"/>
    <w:rsid w:val="00075D9D"/>
    <w:rsid w:val="000A72A1"/>
    <w:rsid w:val="000F38B1"/>
    <w:rsid w:val="00133F19"/>
    <w:rsid w:val="0015788E"/>
    <w:rsid w:val="001D3E85"/>
    <w:rsid w:val="002221FD"/>
    <w:rsid w:val="00267D4A"/>
    <w:rsid w:val="00270C68"/>
    <w:rsid w:val="00296F3C"/>
    <w:rsid w:val="00300B25"/>
    <w:rsid w:val="00353437"/>
    <w:rsid w:val="003664EE"/>
    <w:rsid w:val="003819F1"/>
    <w:rsid w:val="0038580D"/>
    <w:rsid w:val="00395942"/>
    <w:rsid w:val="004416EE"/>
    <w:rsid w:val="00465110"/>
    <w:rsid w:val="004B38E8"/>
    <w:rsid w:val="004C1949"/>
    <w:rsid w:val="00553E0A"/>
    <w:rsid w:val="00596BB9"/>
    <w:rsid w:val="005D326B"/>
    <w:rsid w:val="005D6D5F"/>
    <w:rsid w:val="005E2D8E"/>
    <w:rsid w:val="00603965"/>
    <w:rsid w:val="00614976"/>
    <w:rsid w:val="00660752"/>
    <w:rsid w:val="00676C44"/>
    <w:rsid w:val="006873CE"/>
    <w:rsid w:val="006D2892"/>
    <w:rsid w:val="00706856"/>
    <w:rsid w:val="00762A36"/>
    <w:rsid w:val="00781788"/>
    <w:rsid w:val="007B3BD9"/>
    <w:rsid w:val="00820AE6"/>
    <w:rsid w:val="008326D4"/>
    <w:rsid w:val="008C0CD4"/>
    <w:rsid w:val="00937A86"/>
    <w:rsid w:val="00977245"/>
    <w:rsid w:val="009F51FC"/>
    <w:rsid w:val="00A0368D"/>
    <w:rsid w:val="00A65843"/>
    <w:rsid w:val="00AF6554"/>
    <w:rsid w:val="00B901E0"/>
    <w:rsid w:val="00B9324C"/>
    <w:rsid w:val="00BA1D8F"/>
    <w:rsid w:val="00D17977"/>
    <w:rsid w:val="00D64E98"/>
    <w:rsid w:val="00D73A5D"/>
    <w:rsid w:val="00D9152E"/>
    <w:rsid w:val="00DB08BC"/>
    <w:rsid w:val="00DC2C25"/>
    <w:rsid w:val="00DC4828"/>
    <w:rsid w:val="00E67977"/>
    <w:rsid w:val="00E96682"/>
    <w:rsid w:val="00EC1FD9"/>
    <w:rsid w:val="00EF7ED5"/>
    <w:rsid w:val="00F30EAF"/>
    <w:rsid w:val="00F54FF1"/>
    <w:rsid w:val="00F677C3"/>
    <w:rsid w:val="00FE0FA7"/>
    <w:rsid w:val="00FF0DC0"/>
    <w:rsid w:val="05D81D9F"/>
    <w:rsid w:val="06846D7A"/>
    <w:rsid w:val="085B3B1D"/>
    <w:rsid w:val="0D3E301C"/>
    <w:rsid w:val="15B11221"/>
    <w:rsid w:val="19243790"/>
    <w:rsid w:val="19F03294"/>
    <w:rsid w:val="1AA5619E"/>
    <w:rsid w:val="1DB9575A"/>
    <w:rsid w:val="21BA49F9"/>
    <w:rsid w:val="21FA7AAB"/>
    <w:rsid w:val="220D3C83"/>
    <w:rsid w:val="256503D5"/>
    <w:rsid w:val="28AA3FD9"/>
    <w:rsid w:val="2A9D36CA"/>
    <w:rsid w:val="2ABC60DD"/>
    <w:rsid w:val="2BAD1468"/>
    <w:rsid w:val="2E2652C2"/>
    <w:rsid w:val="3154222C"/>
    <w:rsid w:val="349E42F6"/>
    <w:rsid w:val="357A353D"/>
    <w:rsid w:val="37343573"/>
    <w:rsid w:val="3E092AB7"/>
    <w:rsid w:val="3F556752"/>
    <w:rsid w:val="4AE758C3"/>
    <w:rsid w:val="4E2116E9"/>
    <w:rsid w:val="506F328F"/>
    <w:rsid w:val="52CB1C69"/>
    <w:rsid w:val="59284923"/>
    <w:rsid w:val="60D158A0"/>
    <w:rsid w:val="6118527D"/>
    <w:rsid w:val="61FA1B3D"/>
    <w:rsid w:val="667831F6"/>
    <w:rsid w:val="683D4822"/>
    <w:rsid w:val="684418A9"/>
    <w:rsid w:val="71670CF0"/>
    <w:rsid w:val="73C650E2"/>
    <w:rsid w:val="753E17C8"/>
    <w:rsid w:val="7B2D6100"/>
    <w:rsid w:val="7F996E0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mf"/><Relationship Id="rId8" Type="http://schemas.openxmlformats.org/officeDocument/2006/relationships/oleObject" Target="embeddings/oleObject1.bin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717</Words>
  <Characters>960</Characters>
  <Lines>13</Lines>
  <Paragraphs>3</Paragraphs>
  <TotalTime>28</TotalTime>
  <ScaleCrop>false</ScaleCrop>
  <LinksUpToDate>false</LinksUpToDate>
  <CharactersWithSpaces>972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2017-12-19T10:43:00Z</dcterms:created>
  <dc:creator>pc</dc:creator>
  <cp:lastModifiedBy>:D</cp:lastModifiedBy>
  <dcterms:modified xsi:type="dcterms:W3CDTF">2026-03-23T07:19:05Z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7FE77051ED2D499EA840DCC10949BB53_12</vt:lpwstr>
  </property>
  <property fmtid="{D5CDD505-2E9C-101B-9397-08002B2CF9AE}" pid="4" name="KSOTemplateDocerSaveRecord">
    <vt:lpwstr>eyJoZGlkIjoiZmFjMGFiM2ZiMDU1ODBlZDBlZjc0MGExZDkyZmUwYTMiLCJ1c2VySWQiOiIxMzMzNDkxNzQ1In0=</vt:lpwstr>
  </property>
</Properties>
</file>