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拾风苑——闲置幼儿园向新型社区活动中心低碳转型改造设计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总得分：Q=（Q0+Q1+Q2+Q3+Q4+Q5+QA）/10=96.6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