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拾风苑——闲置幼儿园向新型社区活动中心低碳转型改造设计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项目地址：福建省南平市武夷山市武夷大道武夷山市实验幼儿园(学院校区)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项目名称：拾风苑——闲置幼儿园向新型社区活动中心低碳转型改造设计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围护结构提高13%或负荷降低%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全寿命期单位建筑面积碳排放强为39.52kgCO2/（m2·a）减碳率24%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