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D3A10" w14:textId="77777777" w:rsidR="00000000" w:rsidRDefault="00000000" w:rsidP="00427EC4">
      <w:pPr>
        <w:pStyle w:val="1"/>
        <w:jc w:val="center"/>
      </w:pPr>
    </w:p>
    <w:p w14:paraId="7B4927C3" w14:textId="77777777" w:rsidR="00000000" w:rsidRDefault="00000000" w:rsidP="00427EC4">
      <w:pPr>
        <w:pStyle w:val="1"/>
        <w:jc w:val="center"/>
      </w:pPr>
    </w:p>
    <w:p w14:paraId="40876DA2" w14:textId="77777777" w:rsidR="00000000" w:rsidRDefault="00000000" w:rsidP="00427EC4">
      <w:pPr>
        <w:pStyle w:val="1"/>
        <w:jc w:val="center"/>
      </w:pPr>
    </w:p>
    <w:p w14:paraId="2685BB31" w14:textId="7B8EF7BF" w:rsidR="00000000" w:rsidRDefault="00254441" w:rsidP="00427EC4">
      <w:pPr>
        <w:pStyle w:val="1"/>
        <w:jc w:val="center"/>
        <w:rPr>
          <w:rFonts w:hint="eastAsia"/>
        </w:rPr>
      </w:pPr>
      <w:r>
        <w:rPr>
          <w:rFonts w:hint="eastAsia"/>
        </w:rPr>
        <w:t>绿意商埠</w:t>
      </w:r>
      <w:r>
        <w:rPr>
          <w:rFonts w:hint="eastAsia"/>
        </w:rPr>
        <w:t xml:space="preserve"> </w:t>
      </w:r>
      <w:r>
        <w:rPr>
          <w:rFonts w:hint="eastAsia"/>
        </w:rPr>
        <w:t>筑海丝起点零碳集市</w:t>
      </w:r>
    </w:p>
    <w:p w14:paraId="736B0A62" w14:textId="77777777" w:rsidR="00000000" w:rsidRDefault="00000000" w:rsidP="00427EC4">
      <w:pPr>
        <w:pStyle w:val="1"/>
        <w:jc w:val="center"/>
      </w:pPr>
      <w:r>
        <w:rPr>
          <w:rFonts w:hint="eastAsia"/>
        </w:rPr>
        <w:t>地面停车率</w:t>
      </w:r>
      <w:r>
        <w:t>计算书</w:t>
      </w:r>
    </w:p>
    <w:p w14:paraId="6C7A4BA8" w14:textId="77777777" w:rsidR="00000000" w:rsidRDefault="00000000" w:rsidP="00427EC4">
      <w:pPr>
        <w:rPr>
          <w:kern w:val="44"/>
          <w:sz w:val="44"/>
          <w:szCs w:val="44"/>
        </w:rPr>
      </w:pPr>
      <w:r>
        <w:br w:type="page"/>
      </w:r>
    </w:p>
    <w:p w14:paraId="2AB56830" w14:textId="77777777" w:rsidR="00000000" w:rsidRDefault="00000000" w:rsidP="00427EC4">
      <w:pPr>
        <w:pStyle w:val="2"/>
        <w:rPr>
          <w:rStyle w:val="a5"/>
          <w:i w:val="0"/>
          <w:iCs w:val="0"/>
          <w:color w:val="auto"/>
        </w:rPr>
      </w:pPr>
      <w:r>
        <w:rPr>
          <w:rStyle w:val="a5"/>
          <w:rFonts w:hint="eastAsia"/>
          <w:i w:val="0"/>
          <w:iCs w:val="0"/>
          <w:color w:val="auto"/>
        </w:rPr>
        <w:lastRenderedPageBreak/>
        <w:t>1</w:t>
      </w:r>
      <w:r>
        <w:rPr>
          <w:rStyle w:val="a5"/>
          <w:i w:val="0"/>
          <w:iCs w:val="0"/>
          <w:color w:val="auto"/>
        </w:rPr>
        <w:t xml:space="preserve"> </w:t>
      </w:r>
      <w:r>
        <w:rPr>
          <w:rStyle w:val="a5"/>
          <w:rFonts w:hint="eastAsia"/>
          <w:i w:val="0"/>
          <w:iCs w:val="0"/>
          <w:color w:val="auto"/>
        </w:rPr>
        <w:t>项目</w:t>
      </w:r>
      <w:r>
        <w:rPr>
          <w:rStyle w:val="a5"/>
          <w:i w:val="0"/>
          <w:iCs w:val="0"/>
          <w:color w:val="auto"/>
        </w:rPr>
        <w:t>概况</w:t>
      </w:r>
    </w:p>
    <w:p w14:paraId="6048D225" w14:textId="77777777" w:rsidR="00254441" w:rsidRDefault="00000000" w:rsidP="00254441">
      <w:pPr>
        <w:pStyle w:val="1"/>
        <w:rPr>
          <w:rFonts w:hint="eastAsia"/>
        </w:rPr>
      </w:pPr>
      <w:r w:rsidRPr="00C33F05">
        <w:rPr>
          <w:sz w:val="24"/>
        </w:rPr>
        <w:t>项目名称</w:t>
      </w:r>
      <w:r w:rsidRPr="00C33F05">
        <w:rPr>
          <w:sz w:val="24"/>
        </w:rPr>
        <w:t>：</w:t>
      </w:r>
      <w:r w:rsidR="00254441">
        <w:rPr>
          <w:rFonts w:hint="eastAsia"/>
        </w:rPr>
        <w:t>绿意商埠</w:t>
      </w:r>
      <w:r w:rsidR="00254441">
        <w:rPr>
          <w:rFonts w:hint="eastAsia"/>
        </w:rPr>
        <w:t xml:space="preserve"> </w:t>
      </w:r>
      <w:r w:rsidR="00254441">
        <w:rPr>
          <w:rFonts w:hint="eastAsia"/>
        </w:rPr>
        <w:t>筑海丝起点零碳集市</w:t>
      </w:r>
    </w:p>
    <w:p w14:paraId="0C6AD288" w14:textId="64B2B9C5" w:rsidR="00000000" w:rsidRPr="00254441" w:rsidRDefault="00000000" w:rsidP="00427EC4">
      <w:pPr>
        <w:ind w:firstLine="482"/>
        <w:rPr>
          <w:sz w:val="24"/>
        </w:rPr>
      </w:pPr>
    </w:p>
    <w:p w14:paraId="791B5DC1" w14:textId="26C734A8" w:rsidR="00000000" w:rsidRPr="00C33F05" w:rsidRDefault="00000000" w:rsidP="00427EC4">
      <w:pPr>
        <w:ind w:firstLine="480"/>
        <w:rPr>
          <w:sz w:val="24"/>
        </w:rPr>
      </w:pPr>
      <w:r w:rsidRPr="00C33F05">
        <w:rPr>
          <w:sz w:val="24"/>
        </w:rPr>
        <w:t>项目位于</w:t>
      </w:r>
      <w:r w:rsidR="00254441" w:rsidRPr="00254441">
        <w:rPr>
          <w:rFonts w:hint="eastAsia"/>
          <w:sz w:val="24"/>
        </w:rPr>
        <w:t>福建省泉州市南安县</w:t>
      </w:r>
      <w:r w:rsidR="00254441">
        <w:rPr>
          <w:rFonts w:hint="eastAsia"/>
          <w:sz w:val="24"/>
        </w:rPr>
        <w:t>武荣公园。</w:t>
      </w:r>
      <w:r w:rsidR="00254441" w:rsidRPr="00254441">
        <w:rPr>
          <w:rFonts w:hint="eastAsia"/>
          <w:sz w:val="24"/>
        </w:rPr>
        <w:cr/>
      </w:r>
      <w:r w:rsidR="00254441" w:rsidRPr="00254441">
        <w:rPr>
          <w:sz w:val="24"/>
        </w:rPr>
        <w:cr/>
      </w:r>
      <w:r w:rsidRPr="00C33F05">
        <w:rPr>
          <w:sz w:val="24"/>
        </w:rPr>
        <w:t>。该项目总用地面积为</w:t>
      </w:r>
      <w:r w:rsidR="00254441">
        <w:rPr>
          <w:rFonts w:hint="eastAsia"/>
          <w:sz w:val="24"/>
        </w:rPr>
        <w:t>3620</w:t>
      </w:r>
      <w:r w:rsidRPr="00C33F05">
        <w:rPr>
          <w:sz w:val="24"/>
        </w:rPr>
        <w:t>平方米，建筑面积为</w:t>
      </w:r>
      <w:r w:rsidR="00254441">
        <w:rPr>
          <w:rFonts w:hint="eastAsia"/>
          <w:sz w:val="24"/>
        </w:rPr>
        <w:t>1727</w:t>
      </w:r>
      <w:r w:rsidRPr="00C33F05">
        <w:rPr>
          <w:sz w:val="24"/>
        </w:rPr>
        <w:t>平方米。</w:t>
      </w:r>
    </w:p>
    <w:p w14:paraId="29E8B7B7" w14:textId="42C51331" w:rsidR="00000000" w:rsidRPr="00C33F05" w:rsidRDefault="00254441" w:rsidP="00427EC4">
      <w:pPr>
        <w:ind w:firstLine="480"/>
        <w:rPr>
          <w:sz w:val="24"/>
        </w:rPr>
      </w:pPr>
      <w:r>
        <w:rPr>
          <w:noProof/>
          <w:sz w:val="24"/>
        </w:rPr>
        <w:drawing>
          <wp:inline distT="0" distB="0" distL="0" distR="0" wp14:anchorId="1D7E1472" wp14:editId="4DAF6819">
            <wp:extent cx="5274310" cy="2263140"/>
            <wp:effectExtent l="0" t="0" r="2540" b="3810"/>
            <wp:docPr id="20211164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16429" name="图片 202111642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B208" w14:textId="77777777" w:rsidR="00000000" w:rsidRPr="00C33F05" w:rsidRDefault="00000000" w:rsidP="00427EC4">
      <w:pPr>
        <w:ind w:firstLine="480"/>
        <w:jc w:val="center"/>
        <w:rPr>
          <w:sz w:val="24"/>
        </w:rPr>
      </w:pPr>
      <w:r w:rsidRPr="00C33F05">
        <w:rPr>
          <w:sz w:val="24"/>
        </w:rPr>
        <w:t>项目效果图</w:t>
      </w:r>
    </w:p>
    <w:p w14:paraId="30A6D2D8" w14:textId="77777777" w:rsidR="00000000" w:rsidRPr="00C33F05" w:rsidRDefault="00000000" w:rsidP="00427EC4">
      <w:pPr>
        <w:pStyle w:val="1"/>
        <w:rPr>
          <w:sz w:val="28"/>
        </w:rPr>
      </w:pPr>
      <w:r>
        <w:rPr>
          <w:rFonts w:hint="eastAsia"/>
          <w:sz w:val="28"/>
        </w:rPr>
        <w:t xml:space="preserve">2 </w:t>
      </w:r>
      <w:r>
        <w:rPr>
          <w:rFonts w:hint="eastAsia"/>
          <w:sz w:val="28"/>
        </w:rPr>
        <w:t>标准要求</w:t>
      </w:r>
    </w:p>
    <w:p w14:paraId="0AF37E91" w14:textId="77777777" w:rsidR="00000000" w:rsidRPr="00C33F05" w:rsidRDefault="00000000" w:rsidP="00427EC4">
      <w:pPr>
        <w:spacing w:line="276" w:lineRule="auto"/>
        <w:ind w:firstLine="420"/>
        <w:rPr>
          <w:sz w:val="24"/>
        </w:rPr>
      </w:pPr>
      <w:r w:rsidRPr="00C33F05">
        <w:rPr>
          <w:sz w:val="24"/>
        </w:rPr>
        <w:t>《绿色建筑</w:t>
      </w:r>
      <w:r>
        <w:rPr>
          <w:rFonts w:hint="eastAsia"/>
          <w:sz w:val="24"/>
        </w:rPr>
        <w:t>评价</w:t>
      </w:r>
      <w:r w:rsidRPr="00C33F05">
        <w:rPr>
          <w:sz w:val="24"/>
        </w:rPr>
        <w:t>标准》</w:t>
      </w:r>
      <w:r w:rsidRPr="00C33F05">
        <w:rPr>
          <w:sz w:val="24"/>
        </w:rPr>
        <w:t>GB/T 50378-201</w:t>
      </w:r>
      <w:r>
        <w:rPr>
          <w:sz w:val="24"/>
        </w:rPr>
        <w:t>9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sz w:val="24"/>
        </w:rPr>
        <w:t>024</w:t>
      </w:r>
      <w:r>
        <w:rPr>
          <w:rFonts w:hint="eastAsia"/>
          <w:sz w:val="24"/>
        </w:rPr>
        <w:t>年版）</w:t>
      </w:r>
      <w:r w:rsidRPr="00C33F05">
        <w:rPr>
          <w:sz w:val="24"/>
        </w:rPr>
        <w:t>第</w:t>
      </w:r>
      <w:r>
        <w:rPr>
          <w:sz w:val="24"/>
        </w:rPr>
        <w:t>7</w:t>
      </w:r>
      <w:r w:rsidRPr="00C33F05">
        <w:rPr>
          <w:sz w:val="24"/>
        </w:rPr>
        <w:t>.2.</w:t>
      </w:r>
      <w:r>
        <w:rPr>
          <w:sz w:val="24"/>
        </w:rPr>
        <w:t>3</w:t>
      </w:r>
      <w:r w:rsidRPr="00C33F05">
        <w:rPr>
          <w:sz w:val="24"/>
        </w:rPr>
        <w:t xml:space="preserve"> </w:t>
      </w:r>
      <w:r w:rsidRPr="00C33F05">
        <w:rPr>
          <w:sz w:val="24"/>
        </w:rPr>
        <w:t>条明确要求：</w:t>
      </w:r>
    </w:p>
    <w:p w14:paraId="3A4B28D7" w14:textId="77777777" w:rsidR="00000000" w:rsidRPr="00427EC4" w:rsidRDefault="00000000" w:rsidP="00427EC4">
      <w:pPr>
        <w:ind w:firstLine="420"/>
        <w:rPr>
          <w:rFonts w:asciiTheme="minorEastAsia" w:hAnsiTheme="minorEastAsia" w:hint="eastAsia"/>
          <w:sz w:val="24"/>
          <w:szCs w:val="21"/>
        </w:rPr>
      </w:pPr>
      <w:r w:rsidRPr="00427EC4">
        <w:rPr>
          <w:rFonts w:asciiTheme="minorEastAsia" w:hAnsiTheme="minorEastAsia" w:hint="eastAsia"/>
          <w:sz w:val="24"/>
          <w:szCs w:val="21"/>
        </w:rPr>
        <w:t>采用机械式停车设施、地下停车库或地面停车楼等方式，评价分值为</w:t>
      </w:r>
      <w:r w:rsidRPr="00427EC4">
        <w:rPr>
          <w:rFonts w:asciiTheme="minorEastAsia" w:hAnsiTheme="minorEastAsia" w:hint="eastAsia"/>
          <w:sz w:val="24"/>
          <w:szCs w:val="21"/>
        </w:rPr>
        <w:t>8</w:t>
      </w:r>
      <w:r w:rsidRPr="00427EC4">
        <w:rPr>
          <w:rFonts w:asciiTheme="minorEastAsia" w:hAnsiTheme="minorEastAsia" w:hint="eastAsia"/>
          <w:sz w:val="24"/>
          <w:szCs w:val="21"/>
        </w:rPr>
        <w:t>分，并按下列规则评分：</w:t>
      </w:r>
    </w:p>
    <w:p w14:paraId="706A815E" w14:textId="77777777" w:rsidR="00000000" w:rsidRPr="00427EC4" w:rsidRDefault="00000000" w:rsidP="00427EC4">
      <w:pPr>
        <w:ind w:firstLine="420"/>
        <w:rPr>
          <w:rFonts w:asciiTheme="minorEastAsia" w:hAnsiTheme="minorEastAsia" w:hint="eastAsia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 w:rsidRPr="00427EC4">
        <w:rPr>
          <w:rFonts w:asciiTheme="minorEastAsia" w:hAnsiTheme="minorEastAsia" w:hint="eastAsia"/>
          <w:sz w:val="24"/>
          <w:szCs w:val="21"/>
        </w:rPr>
        <w:t xml:space="preserve">1   </w:t>
      </w:r>
      <w:r w:rsidRPr="00427EC4">
        <w:rPr>
          <w:rFonts w:asciiTheme="minorEastAsia" w:hAnsiTheme="minorEastAsia" w:hint="eastAsia"/>
          <w:sz w:val="24"/>
          <w:szCs w:val="21"/>
        </w:rPr>
        <w:t>住宅建筑地面停车位数量与住宅总套数的比率应小于</w:t>
      </w:r>
      <w:r w:rsidRPr="00427EC4">
        <w:rPr>
          <w:rFonts w:asciiTheme="minorEastAsia" w:hAnsiTheme="minorEastAsia" w:hint="eastAsia"/>
          <w:sz w:val="24"/>
          <w:szCs w:val="21"/>
        </w:rPr>
        <w:t>10%</w:t>
      </w:r>
      <w:r w:rsidRPr="00427EC4">
        <w:rPr>
          <w:rFonts w:asciiTheme="minorEastAsia" w:hAnsiTheme="minorEastAsia" w:hint="eastAsia"/>
          <w:sz w:val="24"/>
          <w:szCs w:val="21"/>
        </w:rPr>
        <w:t>，得</w:t>
      </w:r>
      <w:r w:rsidRPr="00427EC4">
        <w:rPr>
          <w:rFonts w:asciiTheme="minorEastAsia" w:hAnsiTheme="minorEastAsia" w:hint="eastAsia"/>
          <w:sz w:val="24"/>
          <w:szCs w:val="21"/>
        </w:rPr>
        <w:t>8</w:t>
      </w:r>
      <w:r w:rsidRPr="00427EC4">
        <w:rPr>
          <w:rFonts w:asciiTheme="minorEastAsia" w:hAnsiTheme="minorEastAsia" w:hint="eastAsia"/>
          <w:sz w:val="24"/>
          <w:szCs w:val="21"/>
        </w:rPr>
        <w:t>分；</w:t>
      </w:r>
    </w:p>
    <w:p w14:paraId="40F1D501" w14:textId="77777777" w:rsidR="00000000" w:rsidRDefault="00000000" w:rsidP="00427EC4">
      <w:pPr>
        <w:ind w:firstLine="420"/>
        <w:rPr>
          <w:rFonts w:asciiTheme="minorEastAsia" w:hAnsiTheme="minorEastAsia" w:hint="eastAsia"/>
          <w:sz w:val="24"/>
          <w:szCs w:val="21"/>
        </w:rPr>
      </w:pPr>
      <w:r>
        <w:rPr>
          <w:rFonts w:asciiTheme="minorEastAsia" w:hAnsiTheme="minorEastAsia" w:hint="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asciiTheme="minorEastAsia" w:hAnsiTheme="minorEastAsia" w:hint="eastAsia"/>
          <w:sz w:val="24"/>
          <w:szCs w:val="21"/>
        </w:rPr>
        <w:t xml:space="preserve">2  </w:t>
      </w:r>
      <w:r w:rsidRPr="00427EC4">
        <w:rPr>
          <w:rFonts w:asciiTheme="minorEastAsia" w:hAnsiTheme="minorEastAsia" w:hint="eastAsia"/>
          <w:sz w:val="24"/>
          <w:szCs w:val="21"/>
        </w:rPr>
        <w:t>公共建筑地面停车占地面积与其总建设用地面积的比率应小于</w:t>
      </w:r>
      <w:r w:rsidRPr="00427EC4">
        <w:rPr>
          <w:rFonts w:asciiTheme="minorEastAsia" w:hAnsiTheme="minorEastAsia" w:hint="eastAsia"/>
          <w:sz w:val="24"/>
          <w:szCs w:val="21"/>
        </w:rPr>
        <w:t>8%</w:t>
      </w:r>
      <w:r w:rsidRPr="00427EC4">
        <w:rPr>
          <w:rFonts w:asciiTheme="minorEastAsia" w:hAnsiTheme="minorEastAsia" w:hint="eastAsia"/>
          <w:sz w:val="24"/>
          <w:szCs w:val="21"/>
        </w:rPr>
        <w:t>，得</w:t>
      </w:r>
      <w:r w:rsidRPr="00427EC4">
        <w:rPr>
          <w:rFonts w:asciiTheme="minorEastAsia" w:hAnsiTheme="minorEastAsia" w:hint="eastAsia"/>
          <w:sz w:val="24"/>
          <w:szCs w:val="21"/>
        </w:rPr>
        <w:t>8</w:t>
      </w:r>
      <w:r w:rsidRPr="00427EC4">
        <w:rPr>
          <w:rFonts w:asciiTheme="minorEastAsia" w:hAnsiTheme="minorEastAsia" w:hint="eastAsia"/>
          <w:sz w:val="24"/>
          <w:szCs w:val="21"/>
        </w:rPr>
        <w:t>分。</w:t>
      </w:r>
    </w:p>
    <w:p w14:paraId="188569E6" w14:textId="77777777" w:rsidR="00000000" w:rsidRDefault="00000000" w:rsidP="00427EC4">
      <w:pPr>
        <w:ind w:firstLine="420"/>
        <w:rPr>
          <w:rFonts w:asciiTheme="minorEastAsia" w:hAnsiTheme="minorEastAsia" w:hint="eastAsia"/>
          <w:sz w:val="24"/>
          <w:szCs w:val="21"/>
        </w:rPr>
      </w:pPr>
    </w:p>
    <w:p w14:paraId="513C4A8F" w14:textId="77777777" w:rsidR="00000000" w:rsidRDefault="00000000" w:rsidP="00427EC4">
      <w:pPr>
        <w:pStyle w:val="1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计算</w:t>
      </w:r>
    </w:p>
    <w:p w14:paraId="11053E06" w14:textId="524A9212" w:rsidR="00000000" w:rsidRPr="00427EC4" w:rsidRDefault="00000000" w:rsidP="00427EC4">
      <w:pPr>
        <w:ind w:firstLine="420"/>
        <w:rPr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 </w:t>
      </w:r>
      <w:r w:rsidR="00254441">
        <w:rPr>
          <w:rFonts w:hint="eastAsia"/>
          <w:u w:val="single"/>
        </w:rPr>
        <w:t>4</w:t>
      </w:r>
      <w:r>
        <w:rPr>
          <w:u w:val="single"/>
        </w:rPr>
        <w:t xml:space="preserve">    </w:t>
      </w:r>
      <w:r>
        <w:rPr>
          <w:rFonts w:hint="eastAsia"/>
          <w:u w:val="single"/>
        </w:rPr>
        <w:t>个</w:t>
      </w:r>
    </w:p>
    <w:p w14:paraId="17E7734C" w14:textId="77777777" w:rsidR="00000000" w:rsidRPr="00427EC4" w:rsidRDefault="00000000" w:rsidP="00427EC4"/>
    <w:p w14:paraId="253ED864" w14:textId="77777777" w:rsidR="00000000" w:rsidRDefault="00000000" w:rsidP="00427EC4">
      <w:pPr>
        <w:ind w:firstLine="420"/>
      </w:pPr>
      <w:r w:rsidRPr="00427EC4">
        <w:rPr>
          <w:rFonts w:hint="eastAsia"/>
        </w:rPr>
        <w:t>地面停车率</w:t>
      </w:r>
      <w:r>
        <w:rPr>
          <w:rFonts w:hint="eastAsia"/>
        </w:rPr>
        <w:t>=</w:t>
      </w:r>
      <w:r w:rsidRPr="00D35CD4">
        <w:rPr>
          <w:rFonts w:hint="eastAsia"/>
        </w:rPr>
        <w:t>地面停车占地面积</w:t>
      </w:r>
      <w:r>
        <w:rPr>
          <w:rFonts w:hint="eastAsia"/>
        </w:rPr>
        <w:t>/</w:t>
      </w:r>
      <w:r w:rsidRPr="00D35CD4">
        <w:rPr>
          <w:rFonts w:hint="eastAsia"/>
        </w:rPr>
        <w:t>总建设用地面积</w:t>
      </w:r>
    </w:p>
    <w:p w14:paraId="77004D7D" w14:textId="77777777" w:rsidR="00000000" w:rsidRPr="00D35CD4" w:rsidRDefault="00000000" w:rsidP="00427EC4">
      <w:pPr>
        <w:ind w:left="1260" w:firstLine="210"/>
      </w:pPr>
    </w:p>
    <w:p w14:paraId="61A9BA75" w14:textId="5EA5ADB0" w:rsidR="00000000" w:rsidRDefault="00000000" w:rsidP="00427EC4">
      <w:pPr>
        <w:ind w:left="1260" w:firstLine="21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 </w:t>
      </w:r>
      <w:r w:rsidR="00254441">
        <w:rPr>
          <w:rFonts w:hint="eastAsia"/>
          <w:u w:val="single"/>
        </w:rPr>
        <w:t>530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 xml:space="preserve">/  </w:t>
      </w:r>
      <w:r w:rsidR="00254441">
        <w:rPr>
          <w:rFonts w:hint="eastAsia"/>
          <w:u w:val="single"/>
        </w:rPr>
        <w:t>3620</w:t>
      </w:r>
      <w:r>
        <w:rPr>
          <w:rFonts w:hint="eastAsia"/>
          <w:u w:val="single"/>
        </w:rPr>
        <w:t xml:space="preserve">    </w:t>
      </w:r>
      <w:r>
        <w:t xml:space="preserve">  =</w:t>
      </w:r>
      <w:r>
        <w:rPr>
          <w:u w:val="single"/>
        </w:rPr>
        <w:t xml:space="preserve"> </w:t>
      </w:r>
      <w:r w:rsidR="00254441">
        <w:rPr>
          <w:rFonts w:hint="eastAsia"/>
          <w:u w:val="single"/>
        </w:rPr>
        <w:t>1.46%</w:t>
      </w:r>
      <w:r>
        <w:rPr>
          <w:u w:val="single"/>
        </w:rPr>
        <w:t xml:space="preserve">      </w:t>
      </w:r>
    </w:p>
    <w:p w14:paraId="4762F2B2" w14:textId="77777777" w:rsidR="00000000" w:rsidRDefault="00000000" w:rsidP="00427EC4">
      <w:pPr>
        <w:rPr>
          <w:u w:val="single"/>
        </w:rPr>
      </w:pPr>
    </w:p>
    <w:p w14:paraId="3A05687D" w14:textId="77777777" w:rsidR="00000000" w:rsidRDefault="00000000" w:rsidP="00427EC4">
      <w:pPr>
        <w:rPr>
          <w:u w:val="single"/>
        </w:rPr>
      </w:pPr>
    </w:p>
    <w:p w14:paraId="7C86445F" w14:textId="77777777" w:rsidR="00000000" w:rsidRDefault="00000000" w:rsidP="00427EC4">
      <w:pPr>
        <w:pStyle w:val="1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结论</w:t>
      </w:r>
    </w:p>
    <w:p w14:paraId="45F9DCDC" w14:textId="312759DE" w:rsidR="00000000" w:rsidRPr="00D35CD4" w:rsidRDefault="00000000" w:rsidP="00427EC4">
      <w:pPr>
        <w:rPr>
          <w:rFonts w:asciiTheme="minorEastAsia" w:hAnsiTheme="minorEastAsia" w:hint="eastAsia"/>
          <w:sz w:val="24"/>
          <w:szCs w:val="21"/>
        </w:rPr>
      </w:pPr>
      <w:r>
        <w:tab/>
      </w:r>
      <w:r w:rsidRPr="00D35CD4">
        <w:rPr>
          <w:rFonts w:asciiTheme="minorEastAsia" w:hAnsiTheme="minorEastAsia" w:hint="eastAsia"/>
          <w:sz w:val="24"/>
          <w:szCs w:val="21"/>
        </w:rPr>
        <w:t>经验算</w:t>
      </w:r>
      <w:r w:rsidRPr="00D35CD4">
        <w:rPr>
          <w:rFonts w:asciiTheme="minorEastAsia" w:hAnsiTheme="minorEastAsia"/>
          <w:sz w:val="24"/>
          <w:szCs w:val="21"/>
        </w:rPr>
        <w:t>，</w:t>
      </w:r>
      <w:r w:rsidRPr="00427EC4">
        <w:rPr>
          <w:rFonts w:asciiTheme="minorEastAsia" w:hAnsiTheme="minorEastAsia" w:hint="eastAsia"/>
          <w:sz w:val="24"/>
          <w:szCs w:val="21"/>
        </w:rPr>
        <w:t>公共建筑地面停车占地面积与其总建设用地面积的</w:t>
      </w:r>
      <w:r w:rsidRPr="00427EC4">
        <w:rPr>
          <w:rFonts w:asciiTheme="minorEastAsia" w:hAnsiTheme="minorEastAsia" w:hint="eastAsia"/>
          <w:sz w:val="24"/>
          <w:szCs w:val="21"/>
        </w:rPr>
        <w:t>比率</w:t>
      </w:r>
      <w:r>
        <w:rPr>
          <w:rFonts w:asciiTheme="minorEastAsia" w:hAnsiTheme="minorEastAsia" w:hint="eastAsia"/>
          <w:sz w:val="24"/>
          <w:szCs w:val="21"/>
        </w:rPr>
        <w:t>为</w:t>
      </w:r>
      <w:r w:rsidR="00254441">
        <w:rPr>
          <w:rFonts w:asciiTheme="minorEastAsia" w:hAnsiTheme="minorEastAsia" w:hint="eastAsia"/>
          <w:sz w:val="24"/>
          <w:szCs w:val="21"/>
        </w:rPr>
        <w:t>1.46%</w:t>
      </w:r>
      <w:r w:rsidRPr="00D35CD4">
        <w:rPr>
          <w:rFonts w:asciiTheme="minorEastAsia" w:hAnsiTheme="minorEastAsia" w:hint="eastAsia"/>
          <w:sz w:val="24"/>
          <w:szCs w:val="21"/>
        </w:rPr>
        <w:t xml:space="preserve">    </w:t>
      </w:r>
      <w:r>
        <w:rPr>
          <w:rFonts w:asciiTheme="minorEastAsia" w:hAnsiTheme="minorEastAsia" w:hint="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满足</w:t>
      </w:r>
      <w:r>
        <w:rPr>
          <w:rFonts w:asciiTheme="minorEastAsia" w:hAnsiTheme="minorEastAsia" w:hint="eastAsia"/>
          <w:sz w:val="24"/>
          <w:szCs w:val="21"/>
        </w:rPr>
        <w:t>/</w:t>
      </w:r>
      <w:r>
        <w:rPr>
          <w:rFonts w:asciiTheme="minorEastAsia" w:hAnsiTheme="minorEastAsia" w:hint="eastAsia"/>
          <w:sz w:val="24"/>
          <w:szCs w:val="21"/>
        </w:rPr>
        <w:t>不满足</w:t>
      </w:r>
      <w:r>
        <w:rPr>
          <w:rFonts w:asciiTheme="minorEastAsia" w:hAnsiTheme="minorEastAsia"/>
          <w:sz w:val="24"/>
          <w:szCs w:val="21"/>
        </w:rPr>
        <w:t>规范要求，可得</w:t>
      </w:r>
      <w:r>
        <w:rPr>
          <w:rFonts w:asciiTheme="minorEastAsia" w:hAnsiTheme="minorEastAsia" w:hint="eastAsia"/>
          <w:sz w:val="24"/>
          <w:szCs w:val="21"/>
        </w:rPr>
        <w:t>8/</w:t>
      </w:r>
      <w:r w:rsidR="00254441">
        <w:rPr>
          <w:rFonts w:asciiTheme="minorEastAsia" w:hAnsiTheme="minorEastAsia" w:hint="eastAsia"/>
          <w:sz w:val="24"/>
          <w:szCs w:val="21"/>
        </w:rPr>
        <w:t>8</w:t>
      </w:r>
      <w:r>
        <w:rPr>
          <w:rFonts w:asciiTheme="minorEastAsia" w:hAnsiTheme="minorEastAsia" w:hint="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1D9AB093" w14:textId="77777777" w:rsidR="00000000" w:rsidRPr="00D35CD4" w:rsidRDefault="00000000" w:rsidP="00427EC4">
      <w:pPr>
        <w:rPr>
          <w:u w:val="single"/>
        </w:rPr>
      </w:pPr>
    </w:p>
    <w:sectPr w:rsidR="00427EC4" w:rsidRPr="00D35C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8CA03" w14:textId="77777777" w:rsidR="00AD6930" w:rsidRDefault="00AD6930" w:rsidP="00D35CD4">
      <w:r>
        <w:separator/>
      </w:r>
    </w:p>
  </w:endnote>
  <w:endnote w:type="continuationSeparator" w:id="0">
    <w:p w14:paraId="59FD6DCA" w14:textId="77777777" w:rsidR="00AD6930" w:rsidRDefault="00AD6930" w:rsidP="00D35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DCE54" w14:textId="77777777" w:rsidR="00AD6930" w:rsidRDefault="00AD6930" w:rsidP="00D35CD4">
      <w:r>
        <w:separator/>
      </w:r>
    </w:p>
  </w:footnote>
  <w:footnote w:type="continuationSeparator" w:id="0">
    <w:p w14:paraId="787E25FA" w14:textId="77777777" w:rsidR="00AD6930" w:rsidRDefault="00AD6930" w:rsidP="00D35C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C373C"/>
    <w:multiLevelType w:val="hybridMultilevel"/>
    <w:tmpl w:val="5FD60150"/>
    <w:lvl w:ilvl="0" w:tplc="EF5076F6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DE45AC"/>
    <w:multiLevelType w:val="hybridMultilevel"/>
    <w:tmpl w:val="4B126B88"/>
    <w:lvl w:ilvl="0" w:tplc="CC1860D2">
      <w:start w:val="1"/>
      <w:numFmt w:val="decimal"/>
      <w:lvlText w:val="%1."/>
      <w:lvlJc w:val="left"/>
      <w:pPr>
        <w:ind w:left="720" w:hanging="360"/>
      </w:pPr>
    </w:lvl>
    <w:lvl w:ilvl="1" w:tplc="DF4ADEA4">
      <w:start w:val="1"/>
      <w:numFmt w:val="decimal"/>
      <w:lvlText w:val="%2."/>
      <w:lvlJc w:val="left"/>
      <w:pPr>
        <w:ind w:left="1440" w:hanging="1080"/>
      </w:pPr>
    </w:lvl>
    <w:lvl w:ilvl="2" w:tplc="FD621B7E">
      <w:start w:val="1"/>
      <w:numFmt w:val="decimal"/>
      <w:lvlText w:val="%3."/>
      <w:lvlJc w:val="left"/>
      <w:pPr>
        <w:ind w:left="2160" w:hanging="1980"/>
      </w:pPr>
    </w:lvl>
    <w:lvl w:ilvl="3" w:tplc="0FBE2C8C">
      <w:start w:val="1"/>
      <w:numFmt w:val="decimal"/>
      <w:lvlText w:val="%4."/>
      <w:lvlJc w:val="left"/>
      <w:pPr>
        <w:ind w:left="2880" w:hanging="2520"/>
      </w:pPr>
    </w:lvl>
    <w:lvl w:ilvl="4" w:tplc="4F3E6C4E">
      <w:start w:val="1"/>
      <w:numFmt w:val="decimal"/>
      <w:lvlText w:val="%5."/>
      <w:lvlJc w:val="left"/>
      <w:pPr>
        <w:ind w:left="3600" w:hanging="3240"/>
      </w:pPr>
    </w:lvl>
    <w:lvl w:ilvl="5" w:tplc="7C38D62A">
      <w:start w:val="1"/>
      <w:numFmt w:val="decimal"/>
      <w:lvlText w:val="%6."/>
      <w:lvlJc w:val="left"/>
      <w:pPr>
        <w:ind w:left="4320" w:hanging="4140"/>
      </w:pPr>
    </w:lvl>
    <w:lvl w:ilvl="6" w:tplc="BE0682DE">
      <w:start w:val="1"/>
      <w:numFmt w:val="decimal"/>
      <w:lvlText w:val="%7."/>
      <w:lvlJc w:val="left"/>
      <w:pPr>
        <w:ind w:left="5040" w:hanging="4680"/>
      </w:pPr>
    </w:lvl>
    <w:lvl w:ilvl="7" w:tplc="F8206F6C">
      <w:start w:val="1"/>
      <w:numFmt w:val="decimal"/>
      <w:lvlText w:val="%8."/>
      <w:lvlJc w:val="left"/>
      <w:pPr>
        <w:ind w:left="5760" w:hanging="5400"/>
      </w:pPr>
    </w:lvl>
    <w:lvl w:ilvl="8" w:tplc="F7BC69AC">
      <w:start w:val="1"/>
      <w:numFmt w:val="decimal"/>
      <w:lvlText w:val="%9."/>
      <w:lvlJc w:val="left"/>
      <w:pPr>
        <w:ind w:left="6480" w:hanging="6300"/>
      </w:pPr>
    </w:lvl>
  </w:abstractNum>
  <w:abstractNum w:abstractNumId="2" w15:restartNumberingAfterBreak="0">
    <w:nsid w:val="725F7FF4"/>
    <w:multiLevelType w:val="hybridMultilevel"/>
    <w:tmpl w:val="2E8AC0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295255369">
    <w:abstractNumId w:val="0"/>
  </w:num>
  <w:num w:numId="2" w16cid:durableId="1697072700">
    <w:abstractNumId w:val="2"/>
  </w:num>
  <w:num w:numId="3" w16cid:durableId="2019649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0E1"/>
    <w:rsid w:val="00254441"/>
    <w:rsid w:val="007C2CD2"/>
    <w:rsid w:val="00A840E1"/>
    <w:rsid w:val="00AD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8E9CE8"/>
  <w15:chartTrackingRefBased/>
  <w15:docId w15:val="{1B2CDFB4-818E-4A1C-8324-D70439418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link w:val="10"/>
    <w:pPr>
      <w:spacing w:before="480"/>
      <w:outlineLvl w:val="0"/>
    </w:pPr>
    <w:rPr>
      <w:b/>
      <w:color w:val="345A8A"/>
      <w:sz w:val="32"/>
    </w:rPr>
  </w:style>
  <w:style w:type="paragraph" w:styleId="2">
    <w:name w:val="heading 2"/>
    <w:basedOn w:val="a"/>
    <w:link w:val="20"/>
    <w:pPr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pPr>
      <w:spacing w:before="200"/>
      <w:outlineLvl w:val="2"/>
    </w:pPr>
    <w:rPr>
      <w:b/>
      <w:color w:val="4F81BD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27EC4"/>
    <w:rPr>
      <w:b/>
      <w:bCs/>
      <w:kern w:val="44"/>
      <w:sz w:val="44"/>
      <w:szCs w:val="44"/>
    </w:rPr>
  </w:style>
  <w:style w:type="paragraph" w:styleId="a3">
    <w:name w:val="Subtitle"/>
    <w:basedOn w:val="a"/>
    <w:link w:val="a4"/>
    <w:rPr>
      <w:i/>
      <w:color w:val="4F81BD"/>
      <w:sz w:val="24"/>
    </w:rPr>
  </w:style>
  <w:style w:type="character" w:customStyle="1" w:styleId="a4">
    <w:name w:val="副标题 字符"/>
    <w:basedOn w:val="a0"/>
    <w:link w:val="a3"/>
    <w:uiPriority w:val="11"/>
    <w:rsid w:val="00427EC4"/>
    <w:rPr>
      <w:rFonts w:ascii="Calibri Light" w:eastAsia="宋体" w:hAnsiTheme="majorHAnsi" w:cstheme="majorBidi"/>
      <w:b/>
      <w:bCs/>
      <w:kern w:val="28"/>
      <w:sz w:val="32"/>
      <w:szCs w:val="32"/>
    </w:rPr>
  </w:style>
  <w:style w:type="character" w:styleId="a5">
    <w:name w:val="Subtle Emphasis"/>
    <w:basedOn w:val="a0"/>
    <w:uiPriority w:val="19"/>
    <w:qFormat/>
    <w:rsid w:val="00427EC4"/>
    <w:rPr>
      <w:i/>
      <w:iCs/>
      <w:color w:val="404040"/>
    </w:rPr>
  </w:style>
  <w:style w:type="paragraph" w:styleId="a6">
    <w:name w:val="Title"/>
    <w:basedOn w:val="a"/>
    <w:link w:val="a7"/>
    <w:pPr>
      <w:spacing w:after="300"/>
    </w:pPr>
    <w:rPr>
      <w:color w:val="17365D"/>
      <w:sz w:val="52"/>
    </w:rPr>
  </w:style>
  <w:style w:type="character" w:customStyle="1" w:styleId="a7">
    <w:name w:val="标题 字符"/>
    <w:basedOn w:val="a0"/>
    <w:link w:val="a6"/>
    <w:uiPriority w:val="10"/>
    <w:rsid w:val="00427EC4"/>
    <w:rPr>
      <w:rFonts w:ascii="Calibri Light" w:eastAsia="宋体" w:hAnsiTheme="majorHAnsi" w:cstheme="majorBid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427EC4"/>
    <w:rPr>
      <w:rFonts w:ascii="Calibri Light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427EC4"/>
    <w:pPr>
      <w:ind w:firstLine="420"/>
    </w:pPr>
    <w:rPr>
      <w:rFonts w:ascii="Times New Roman" w:eastAsia="宋体" w:hAnsi="Times New Roman" w:cs="Times New Roman"/>
      <w:szCs w:val="24"/>
    </w:rPr>
  </w:style>
  <w:style w:type="paragraph" w:styleId="a9">
    <w:name w:val="header"/>
    <w:basedOn w:val="a"/>
    <w:link w:val="aa"/>
    <w:uiPriority w:val="99"/>
    <w:unhideWhenUsed/>
    <w:rsid w:val="00D35C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D35CD4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D35C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D35C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211</Words>
  <Characters>242</Characters>
  <Application>Microsoft Office Word</Application>
  <DocSecurity>0</DocSecurity>
  <Lines>26</Lines>
  <Paragraphs>23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dongYP</dc:creator>
  <cp:keywords/>
  <dc:description/>
  <cp:lastModifiedBy>瑾奕 杨</cp:lastModifiedBy>
  <cp:revision>6</cp:revision>
  <dcterms:created xsi:type="dcterms:W3CDTF">2020-01-10T07:36:00Z</dcterms:created>
  <dcterms:modified xsi:type="dcterms:W3CDTF">2026-03-27T03:00:00Z</dcterms:modified>
</cp:coreProperties>
</file>