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榕荫里·众乐坊——“三碳”战略引领下的人文共享社区服务中心设计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2957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设计单位：东莞城市学院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项目地址：东莞市塘厦镇凤凰岗社区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报告日期：2026年3月19日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项目名称：榕荫里·众乐坊——“三碳”战略引领下的人文共享社区服务中心设计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全寿命期单位建筑面积碳排放强为9705kgCO2/（m2·a）减碳率67%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