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pacing w:line="360" w:lineRule="exact"/>
              <w:jc w:val="center"/>
              <w:rPr>
                <w:rFonts w:hint="eastAsia"/>
                <w:b/>
                <w:bCs/>
                <w:sz w:val="28"/>
                <w:szCs w:val="28"/>
                <w:lang w:val="en-US" w:eastAsia="zh-CN"/>
              </w:rPr>
            </w:pPr>
            <w:r>
              <w:rPr>
                <w:rFonts w:hint="eastAsia"/>
                <w:b/>
                <w:bCs/>
                <w:sz w:val="28"/>
                <w:szCs w:val="28"/>
                <w:lang w:val="en-US" w:eastAsia="zh-CN"/>
              </w:rPr>
              <w:t>可再生能源建筑一体化应用说明：医院门诊楼光伏发电系统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b/>
                <w:bCs/>
                <w:sz w:val="28"/>
                <w:szCs w:val="28"/>
                <w:lang w:val="en-US" w:eastAsia="zh-CN"/>
              </w:rPr>
            </w:pPr>
            <w:r>
              <w:rPr>
                <w:rFonts w:hint="eastAsia"/>
                <w:b/>
                <w:bCs/>
                <w:sz w:val="28"/>
                <w:szCs w:val="28"/>
                <w:lang w:val="en-US" w:eastAsia="zh-CN"/>
              </w:rPr>
              <w:t>一．技术选型与实施方案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本项目位于合肥市（北纬31°52′，东经117°17′），属于太阳能资源“丰富区（C类）” 。结合建筑屋顶条件与美观度要求，设计采用“屋面固定式晶体硅光伏系统”，实现可再生能源与建筑的有效结合。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1.实施策略：利用建筑屋顶闲置空间，采用固定集成方式安装光伏组件。通过软件模拟避开周边建筑及自身构件（如女儿墙）的阴影遮挡，确保冬至日9:00~15:00时段内互不遮挡 ，实现发电效益最大化。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2.装机规模：本项目共布置光伏组件 723块，总装机容量为 198.825 kWp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b/>
                <w:bCs/>
                <w:sz w:val="28"/>
                <w:szCs w:val="28"/>
                <w:lang w:val="en-US" w:eastAsia="zh-CN"/>
              </w:rPr>
            </w:pPr>
            <w:r>
              <w:rPr>
                <w:rFonts w:hint="eastAsia"/>
                <w:b/>
                <w:bCs/>
                <w:sz w:val="28"/>
                <w:szCs w:val="28"/>
                <w:lang w:val="en-US" w:eastAsia="zh-CN"/>
              </w:rPr>
              <w:t>二. 核心集成参数（真实产品指标）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为确保技术落地的真实性与高效性，本项目选取了具体的单晶硅光伏组件与逆变器，关键性能参数如下：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 xml:space="preserve">A. 光伏组件参数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组件类型：单晶硅电池（转换效率高，衰减率低）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单块规格：1650mm × 992mm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峰值功率：275 Wp</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温度系数：-0.5%/℃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衰减特性：首年衰减≤3%，之后每年衰减≤0.7%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 xml:space="preserve">系统效率参数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系统综合效率是衡量一体化设计质量的关键指标，本项目系统综合效率计算值为 83.0%，具体损耗构成如下：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逆变器效率：96%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线路损耗：1%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材料表面污染损耗：1%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其他不可控损失：2.48%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b/>
                <w:bCs/>
                <w:sz w:val="28"/>
                <w:szCs w:val="28"/>
                <w:lang w:val="en-US" w:eastAsia="zh-CN"/>
              </w:rPr>
            </w:pPr>
            <w:r>
              <w:rPr>
                <w:rFonts w:hint="eastAsia"/>
                <w:b/>
                <w:bCs/>
                <w:sz w:val="28"/>
                <w:szCs w:val="28"/>
                <w:lang w:val="en-US" w:eastAsia="zh-CN"/>
              </w:rPr>
              <w:t>三. 环境模拟与性能仿真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利用绿建斯维尔BPV2025软件对项目地点的光环境进行了详细仿真分析：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1.太阳能资源分析：合肥地区水平面年总辐照量为 1133.7 MJ/(m²·a)，年日照时数约2875小时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2.辐照度与直射比：通过逐月气象数据模拟，该地直射比为0.48，属于散射辐射较多的区域 ，因此选用弱光响应更好的单晶硅组件更为适宜。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3.阴影遮挡分析：模拟结果显示，通过合理的阵列间距设计，有效规避了周边建筑及自身退台造型可能产生的阴影，保证了全年大部分时间的有效光照时长。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b/>
                <w:bCs/>
                <w:sz w:val="28"/>
                <w:szCs w:val="28"/>
                <w:lang w:val="en-US" w:eastAsia="zh-CN"/>
              </w:rPr>
            </w:pPr>
            <w:r>
              <w:rPr>
                <w:rFonts w:hint="eastAsia"/>
                <w:b/>
                <w:bCs/>
                <w:sz w:val="28"/>
                <w:szCs w:val="28"/>
                <w:lang w:val="en-US" w:eastAsia="zh-CN"/>
              </w:rPr>
              <w:t>四．产能预估与效益结论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基于上述参数与仿真环境，对系统全生命周期（25年）的产出进行了量化计算：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1.发电量预估：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1.1首年发电量：18.32万 kWh (183.21 MWh)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1.2 25年累计发电量：421.54万 kWh (4215.41 MWh)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1.3年均发电量：16.86万 kWh。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2.经济效益：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2.1项目静态投资回收期仅为 7.75年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2.2内部收益率 (IRR) 达到 12.46%，全生命周期净现值 (NPV) 为94.89万元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2.3度电成本 (LCOE) 低至 0.41元/度，远低于市电价格，经济性极佳。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sz w:val="28"/>
                <w:szCs w:val="28"/>
                <w:lang w:val="en-US" w:eastAsia="zh-CN"/>
              </w:rPr>
            </w:pPr>
            <w:r>
              <w:rPr>
                <w:rFonts w:hint="eastAsia"/>
                <w:sz w:val="28"/>
                <w:szCs w:val="28"/>
                <w:lang w:val="en-US" w:eastAsia="zh-CN"/>
              </w:rPr>
              <w:t>2.4环境效益（碳减排）： 项目运营25年期间，相比传统火电，预计可节约标准煤 1391.08吨，减少二氧化碳 (CO₂) 排放 2280.54吨，减少二氧化硫 (SO₂) 排放 349.88千克 。</w:t>
            </w:r>
          </w:p>
          <w:p>
            <w:pPr>
              <w:spacing w:line="240" w:lineRule="auto"/>
              <w:jc w:val="distribute"/>
              <w:rPr>
                <w:b/>
                <w:spacing w:val="45"/>
                <w:sz w:val="30"/>
                <w:szCs w:val="30"/>
              </w:rPr>
            </w:pPr>
          </w:p>
          <w:p>
            <w:pPr>
              <w:spacing w:line="240" w:lineRule="auto"/>
              <w:jc w:val="distribute"/>
              <w:rPr>
                <w:b/>
                <w:spacing w:val="45"/>
                <w:sz w:val="30"/>
                <w:szCs w:val="30"/>
              </w:rPr>
            </w:pPr>
          </w:p>
          <w:p>
            <w:pPr>
              <w:spacing w:line="240" w:lineRule="auto"/>
              <w:jc w:val="distribute"/>
              <w:rPr>
                <w:b/>
                <w:spacing w:val="45"/>
                <w:sz w:val="30"/>
                <w:szCs w:val="30"/>
              </w:rPr>
            </w:pPr>
          </w:p>
          <w:p>
            <w:pPr>
              <w:spacing w:line="240" w:lineRule="auto"/>
              <w:jc w:val="distribute"/>
              <w:rPr>
                <w:b/>
                <w:spacing w:val="45"/>
                <w:sz w:val="30"/>
                <w:szCs w:val="30"/>
              </w:rPr>
            </w:pPr>
          </w:p>
          <w:p>
            <w:pPr>
              <w:spacing w:line="240" w:lineRule="auto"/>
              <w:jc w:val="distribute"/>
              <w:rPr>
                <w:b/>
                <w:spacing w:val="45"/>
                <w:sz w:val="30"/>
                <w:szCs w:val="30"/>
              </w:rPr>
            </w:pPr>
          </w:p>
          <w:p>
            <w:pPr>
              <w:spacing w:line="240" w:lineRule="auto"/>
              <w:jc w:val="distribute"/>
              <w:rPr>
                <w:b/>
                <w:spacing w:val="45"/>
                <w:sz w:val="30"/>
                <w:szCs w:val="30"/>
              </w:rPr>
            </w:pPr>
          </w:p>
          <w:p>
            <w:pPr>
              <w:spacing w:line="240" w:lineRule="auto"/>
              <w:jc w:val="distribute"/>
              <w:rPr>
                <w:b/>
                <w:spacing w:val="45"/>
                <w:sz w:val="30"/>
                <w:szCs w:val="30"/>
              </w:rPr>
            </w:pPr>
          </w:p>
          <w:p>
            <w:pPr>
              <w:spacing w:line="240" w:lineRule="auto"/>
              <w:jc w:val="distribute"/>
              <w:rPr>
                <w:b/>
                <w:spacing w:val="45"/>
                <w:sz w:val="30"/>
                <w:szCs w:val="30"/>
              </w:rPr>
            </w:pPr>
          </w:p>
          <w:p>
            <w:pPr>
              <w:spacing w:line="240" w:lineRule="auto"/>
              <w:jc w:val="distribute"/>
              <w:rPr>
                <w:b/>
                <w:spacing w:val="45"/>
                <w:sz w:val="30"/>
                <w:szCs w:val="30"/>
              </w:rPr>
            </w:pPr>
          </w:p>
          <w:p>
            <w:pPr>
              <w:spacing w:line="240" w:lineRule="auto"/>
              <w:jc w:val="distribute"/>
              <w:rPr>
                <w:b/>
                <w:spacing w:val="45"/>
                <w:sz w:val="30"/>
                <w:szCs w:val="30"/>
              </w:rPr>
            </w:pPr>
            <w:bookmarkStart w:id="107" w:name="_GoBack"/>
            <w:bookmarkEnd w:id="107"/>
          </w:p>
          <w:p>
            <w:pPr>
              <w:spacing w:line="240" w:lineRule="auto"/>
              <w:jc w:val="distribute"/>
              <w:rPr>
                <w:b/>
                <w:spacing w:val="45"/>
                <w:sz w:val="30"/>
                <w:szCs w:val="30"/>
              </w:rPr>
            </w:pPr>
          </w:p>
          <w:p>
            <w:pPr>
              <w:spacing w:line="240" w:lineRule="auto"/>
              <w:jc w:val="distribute"/>
              <w:rPr>
                <w:b/>
                <w:spacing w:val="45"/>
                <w:sz w:val="30"/>
                <w:szCs w:val="30"/>
              </w:rPr>
            </w:pPr>
          </w:p>
          <w:p>
            <w:pPr>
              <w:spacing w:line="240" w:lineRule="auto"/>
              <w:jc w:val="distribute"/>
              <w:rPr>
                <w:b/>
                <w:spacing w:val="45"/>
                <w:sz w:val="30"/>
                <w:szCs w:val="30"/>
              </w:rPr>
            </w:pPr>
          </w:p>
          <w:p>
            <w:pPr>
              <w:spacing w:line="240" w:lineRule="auto"/>
              <w:jc w:val="distribute"/>
              <w:rPr>
                <w:b/>
                <w:spacing w:val="45"/>
                <w:sz w:val="30"/>
                <w:szCs w:val="30"/>
              </w:rPr>
            </w:pPr>
          </w:p>
          <w:p>
            <w:pPr>
              <w:spacing w:before="312" w:beforeLines="100" w:line="240" w:lineRule="auto"/>
              <w:jc w:val="distribute"/>
              <w:rPr>
                <w:b/>
                <w:sz w:val="72"/>
                <w:szCs w:val="52"/>
                <w:lang w:val="en-US"/>
              </w:rPr>
            </w:pPr>
            <w:r>
              <w:rPr>
                <w:rFonts w:hint="eastAsia"/>
                <w:b/>
                <w:sz w:val="72"/>
                <w:szCs w:val="52"/>
                <w:lang w:val="en-US"/>
              </w:rPr>
              <w:t>可再生能源利用分析报告</w:t>
            </w:r>
          </w:p>
          <w:p>
            <w:pPr>
              <w:spacing w:before="312" w:beforeLines="100" w:line="240" w:lineRule="auto"/>
              <w:jc w:val="center"/>
              <w:rPr>
                <w:b/>
                <w:sz w:val="72"/>
                <w:szCs w:val="52"/>
                <w:lang w:val="en-US"/>
              </w:rPr>
            </w:pPr>
            <w:r>
              <w:rPr>
                <w:rFonts w:hint="eastAsia"/>
                <w:b/>
                <w:sz w:val="72"/>
                <w:szCs w:val="52"/>
                <w:lang w:val="en-US"/>
              </w:rPr>
              <w:t>光伏发电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before="312" w:beforeLines="100" w:line="240" w:lineRule="auto"/>
              <w:jc w:val="center"/>
              <w:rPr>
                <w:b/>
                <w:sz w:val="36"/>
                <w:szCs w:val="36"/>
              </w:rPr>
            </w:pPr>
            <w:bookmarkStart w:id="0" w:name="项目名称"/>
            <w:r>
              <w:rPr>
                <w:rFonts w:hint="eastAsia"/>
                <w:b/>
                <w:sz w:val="36"/>
                <w:szCs w:val="36"/>
              </w:rPr>
              <w:t>医院门诊楼</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pPr>
              <w:spacing w:line="240" w:lineRule="auto"/>
              <w:jc w:val="center"/>
              <w:rPr>
                <w:b/>
                <w:sz w:val="32"/>
                <w:szCs w:val="52"/>
              </w:rPr>
            </w:pPr>
            <w:r>
              <w:rPr>
                <w:rFonts w:hint="eastAsia"/>
                <w:b/>
                <w:sz w:val="32"/>
                <w:szCs w:val="52"/>
              </w:rPr>
              <w:t>设计编号：</w:t>
            </w:r>
            <w:bookmarkStart w:id="1" w:name="设计编号"/>
            <w:bookmarkEnd w:id="1"/>
          </w:p>
          <w:p>
            <w:pPr>
              <w:spacing w:line="240" w:lineRule="auto"/>
              <w:jc w:val="center"/>
            </w:pPr>
          </w:p>
          <w:p>
            <w:pPr>
              <w:spacing w:line="240" w:lineRule="auto"/>
              <w:jc w:val="center"/>
            </w:pPr>
            <w:bookmarkStart w:id="2" w:name="二维码"/>
            <w:bookmarkEnd w:id="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pacing w:line="240" w:lineRule="auto"/>
              <w:jc w:val="center"/>
            </w:pPr>
          </w:p>
        </w:tc>
      </w:tr>
    </w:tbl>
    <w:p>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p/>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工程地点</w:t>
            </w:r>
          </w:p>
        </w:tc>
        <w:tc>
          <w:tcPr>
            <w:tcW w:w="456" w:type="dxa"/>
          </w:tcPr>
          <w:p>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240" w:lineRule="auto"/>
              <w:jc w:val="center"/>
              <w:rPr>
                <w:sz w:val="24"/>
                <w:szCs w:val="24"/>
              </w:rPr>
            </w:pPr>
            <w:bookmarkStart w:id="3" w:name="工程地点1"/>
            <w:r>
              <w:rPr>
                <w:rFonts w:hint="eastAsia"/>
                <w:sz w:val="24"/>
                <w:szCs w:val="24"/>
              </w:rPr>
              <w:t>合肥</w:t>
            </w:r>
            <w:bookmarkEnd w:id="3"/>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建设单位</w:t>
            </w:r>
          </w:p>
        </w:tc>
        <w:tc>
          <w:tcPr>
            <w:tcW w:w="456" w:type="dxa"/>
          </w:tcPr>
          <w:p>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pPr>
              <w:spacing w:line="240" w:lineRule="auto"/>
              <w:jc w:val="center"/>
              <w:rPr>
                <w:sz w:val="24"/>
                <w:szCs w:val="24"/>
              </w:rPr>
            </w:pPr>
            <w:bookmarkStart w:id="4" w:name="建设单位"/>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设计单位</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bookmarkStart w:id="5" w:name="设计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设计人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校对人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审定人</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pPr>
              <w:spacing w:line="240" w:lineRule="auto"/>
              <w:jc w:val="distribute"/>
              <w:rPr>
                <w:sz w:val="24"/>
                <w:szCs w:val="24"/>
              </w:rPr>
            </w:pPr>
            <w:r>
              <w:rPr>
                <w:rFonts w:hint="eastAsia"/>
                <w:sz w:val="24"/>
                <w:szCs w:val="24"/>
              </w:rPr>
              <w:t>报告日期</w:t>
            </w:r>
          </w:p>
        </w:tc>
        <w:tc>
          <w:tcPr>
            <w:tcW w:w="456" w:type="dxa"/>
          </w:tcPr>
          <w:p>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pPr>
              <w:spacing w:line="240" w:lineRule="auto"/>
              <w:jc w:val="center"/>
              <w:rPr>
                <w:sz w:val="24"/>
                <w:szCs w:val="24"/>
              </w:rPr>
            </w:pPr>
            <w:bookmarkStart w:id="6" w:name="报告日期"/>
            <w:r>
              <w:rPr>
                <w:rFonts w:hint="eastAsia"/>
                <w:sz w:val="24"/>
                <w:szCs w:val="24"/>
              </w:rPr>
              <w:t>2026年01月03日</w:t>
            </w:r>
            <w:bookmarkEnd w:id="6"/>
          </w:p>
        </w:tc>
      </w:tr>
    </w:tbl>
    <w:p>
      <w:pPr>
        <w:rPr>
          <w:rFonts w:cstheme="minorBidi"/>
          <w:kern w:val="2"/>
          <w:szCs w:val="22"/>
        </w:rPr>
      </w:pPr>
    </w:p>
    <w:p/>
    <w:p/>
    <w:p/>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w:t>
            </w:r>
            <w:bookmarkStart w:id="9" w:name="加密锁号"/>
            <w:bookmarkStart w:id="10" w:name="正版授权码"/>
            <w:r>
              <w:rPr>
                <w:rFonts w:hint="eastAsia"/>
                <w:sz w:val="18"/>
              </w:rPr>
              <w:t>T18956933739</w:t>
            </w:r>
            <w:bookmarkEnd w:id="9"/>
            <w:bookmarkEnd w:id="10"/>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pPr>
              <w:spacing w:line="360" w:lineRule="exact"/>
              <w:rPr>
                <w:color w:val="767171" w:themeColor="background2" w:themeShade="80"/>
                <w:kern w:val="2"/>
                <w:szCs w:val="22"/>
              </w:rPr>
            </w:pPr>
          </w:p>
        </w:tc>
      </w:tr>
    </w:tbl>
    <w:p>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_Toc20294 </w:instrText>
      </w:r>
      <w:r>
        <w:rPr>
          <w:szCs w:val="28"/>
        </w:rPr>
        <w:fldChar w:fldCharType="separate"/>
      </w:r>
      <w:r>
        <w:rPr>
          <w:rFonts w:hint="eastAsia"/>
        </w:rPr>
        <w:t>1. 项目概况</w:t>
      </w:r>
      <w:r>
        <w:tab/>
      </w:r>
      <w:r>
        <w:fldChar w:fldCharType="begin"/>
      </w:r>
      <w:r>
        <w:instrText xml:space="preserve"> PAGEREF _Toc20294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_Toc119 </w:instrText>
      </w:r>
      <w:r>
        <w:rPr>
          <w:szCs w:val="28"/>
        </w:rPr>
        <w:fldChar w:fldCharType="separate"/>
      </w:r>
      <w:r>
        <w:rPr>
          <w:rFonts w:hint="eastAsia"/>
        </w:rPr>
        <w:t>2. 标准依据</w:t>
      </w:r>
      <w:r>
        <w:tab/>
      </w:r>
      <w:r>
        <w:fldChar w:fldCharType="begin"/>
      </w:r>
      <w:r>
        <w:instrText xml:space="preserve"> PAGEREF _Toc119 \h </w:instrText>
      </w:r>
      <w:r>
        <w:fldChar w:fldCharType="separate"/>
      </w:r>
      <w:r>
        <w:t>1</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_Toc10597 </w:instrText>
      </w:r>
      <w:r>
        <w:rPr>
          <w:szCs w:val="28"/>
        </w:rPr>
        <w:fldChar w:fldCharType="separate"/>
      </w:r>
      <w:r>
        <w:rPr>
          <w:rFonts w:hint="eastAsia"/>
        </w:rPr>
        <w:t>3. 太阳能资源分析</w:t>
      </w:r>
      <w:r>
        <w:tab/>
      </w:r>
      <w:r>
        <w:fldChar w:fldCharType="begin"/>
      </w:r>
      <w:r>
        <w:instrText xml:space="preserve"> PAGEREF _Toc10597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_Toc2252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_Toc2252 \h </w:instrText>
      </w:r>
      <w:r>
        <w:fldChar w:fldCharType="separate"/>
      </w:r>
      <w:r>
        <w:t>1</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_Toc27896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_Toc27896 \h </w:instrText>
      </w:r>
      <w:r>
        <w:fldChar w:fldCharType="separate"/>
      </w:r>
      <w:r>
        <w:t>4</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_Toc18047 </w:instrText>
      </w:r>
      <w:r>
        <w:rPr>
          <w:szCs w:val="28"/>
        </w:rPr>
        <w:fldChar w:fldCharType="separate"/>
      </w:r>
      <w:r>
        <w:rPr>
          <w:rFonts w:hint="eastAsia"/>
        </w:rPr>
        <w:t>4. 软件选用</w:t>
      </w:r>
      <w:r>
        <w:tab/>
      </w:r>
      <w:r>
        <w:fldChar w:fldCharType="begin"/>
      </w:r>
      <w:r>
        <w:instrText xml:space="preserve"> PAGEREF _Toc18047 \h </w:instrText>
      </w:r>
      <w:r>
        <w:fldChar w:fldCharType="separate"/>
      </w:r>
      <w:r>
        <w:t>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_Toc16439 </w:instrText>
      </w:r>
      <w:r>
        <w:rPr>
          <w:szCs w:val="28"/>
        </w:rPr>
        <w:fldChar w:fldCharType="separate"/>
      </w:r>
      <w:r>
        <w:rPr>
          <w:rFonts w:hint="eastAsia"/>
        </w:rPr>
        <w:t>5. 光伏系统设计</w:t>
      </w:r>
      <w:r>
        <w:tab/>
      </w:r>
      <w:r>
        <w:fldChar w:fldCharType="begin"/>
      </w:r>
      <w:r>
        <w:instrText xml:space="preserve"> PAGEREF _Toc16439 \h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_Toc14039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_Toc14039 \h </w:instrText>
      </w:r>
      <w:r>
        <w:fldChar w:fldCharType="separate"/>
      </w:r>
      <w:r>
        <w:t>6</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_Toc916 </w:instrText>
      </w:r>
      <w:r>
        <w:rPr>
          <w:szCs w:val="28"/>
        </w:rPr>
        <w:fldChar w:fldCharType="separate"/>
      </w:r>
      <w:r>
        <w:rPr>
          <w:rFonts w:hint="eastAsia"/>
          <w:lang w:val="en-GB"/>
        </w:rPr>
        <w:t xml:space="preserve">5.2 </w:t>
      </w:r>
      <w:r>
        <w:t>辐照分析</w:t>
      </w:r>
      <w:r>
        <w:tab/>
      </w:r>
      <w:r>
        <w:fldChar w:fldCharType="begin"/>
      </w:r>
      <w:r>
        <w:instrText xml:space="preserve"> PAGEREF _Toc916 \h </w:instrText>
      </w:r>
      <w:r>
        <w:fldChar w:fldCharType="separate"/>
      </w:r>
      <w:r>
        <w:t>7</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_Toc14261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_Toc14261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_Toc1978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_Toc1978 \h </w:instrText>
      </w:r>
      <w:r>
        <w:fldChar w:fldCharType="separate"/>
      </w:r>
      <w:r>
        <w:t>8</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_Toc24611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_Toc24611 \h </w:instrText>
      </w:r>
      <w:r>
        <w:fldChar w:fldCharType="separate"/>
      </w:r>
      <w:r>
        <w:t>9</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_Toc5230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_Toc5230 \h </w:instrText>
      </w:r>
      <w:r>
        <w:fldChar w:fldCharType="separate"/>
      </w:r>
      <w:r>
        <w:t>9</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_Toc14893 </w:instrText>
      </w:r>
      <w:r>
        <w:rPr>
          <w:szCs w:val="28"/>
        </w:rPr>
        <w:fldChar w:fldCharType="separate"/>
      </w:r>
      <w:r>
        <w:rPr>
          <w:rFonts w:hint="eastAsia"/>
        </w:rPr>
        <w:t>6. 光伏发电产量</w:t>
      </w:r>
      <w:r>
        <w:tab/>
      </w:r>
      <w:r>
        <w:fldChar w:fldCharType="begin"/>
      </w:r>
      <w:r>
        <w:instrText xml:space="preserve"> PAGEREF _Toc14893 \h </w:instrText>
      </w:r>
      <w:r>
        <w:fldChar w:fldCharType="separate"/>
      </w:r>
      <w:r>
        <w:t>10</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_Toc20348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_Toc20348 \h </w:instrText>
      </w:r>
      <w:r>
        <w:fldChar w:fldCharType="separate"/>
      </w:r>
      <w:r>
        <w:t>10</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_Toc20631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_Toc20631 \h </w:instrText>
      </w:r>
      <w:r>
        <w:fldChar w:fldCharType="separate"/>
      </w:r>
      <w:r>
        <w:t>10</w:t>
      </w:r>
      <w:r>
        <w:fldChar w:fldCharType="end"/>
      </w:r>
      <w:r>
        <w:rPr>
          <w:szCs w:val="28"/>
        </w:rPr>
        <w:fldChar w:fldCharType="end"/>
      </w:r>
    </w:p>
    <w:p>
      <w:pPr>
        <w:pStyle w:val="26"/>
        <w:tabs>
          <w:tab w:val="right" w:leader="dot" w:pos="9070"/>
          <w:tab w:val="clear" w:pos="540"/>
          <w:tab w:val="clear" w:pos="840"/>
          <w:tab w:val="clear" w:pos="9360"/>
        </w:tabs>
      </w:pPr>
      <w:r>
        <w:rPr>
          <w:szCs w:val="28"/>
        </w:rPr>
        <w:fldChar w:fldCharType="begin"/>
      </w:r>
      <w:r>
        <w:rPr>
          <w:szCs w:val="28"/>
        </w:rPr>
        <w:instrText xml:space="preserve"> HYPERLINK \l _Toc19486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_Toc19486 \h </w:instrText>
      </w:r>
      <w:r>
        <w:fldChar w:fldCharType="separate"/>
      </w:r>
      <w:r>
        <w:t>11</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_Toc22320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_Toc22320 \h </w:instrText>
      </w:r>
      <w:r>
        <w:fldChar w:fldCharType="separate"/>
      </w:r>
      <w:r>
        <w:t>11</w:t>
      </w:r>
      <w:r>
        <w:fldChar w:fldCharType="end"/>
      </w:r>
      <w:r>
        <w:rPr>
          <w:szCs w:val="28"/>
        </w:rPr>
        <w:fldChar w:fldCharType="end"/>
      </w:r>
    </w:p>
    <w:p>
      <w:pPr>
        <w:pStyle w:val="20"/>
        <w:tabs>
          <w:tab w:val="right" w:leader="dot" w:pos="9070"/>
          <w:tab w:val="clear" w:pos="900"/>
          <w:tab w:val="clear" w:pos="1260"/>
          <w:tab w:val="clear" w:pos="9360"/>
        </w:tabs>
      </w:pPr>
      <w:r>
        <w:rPr>
          <w:szCs w:val="28"/>
        </w:rPr>
        <w:fldChar w:fldCharType="begin"/>
      </w:r>
      <w:r>
        <w:rPr>
          <w:szCs w:val="28"/>
        </w:rPr>
        <w:instrText xml:space="preserve"> HYPERLINK \l _Toc3705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_Toc3705 \h </w:instrText>
      </w:r>
      <w:r>
        <w:fldChar w:fldCharType="separate"/>
      </w:r>
      <w:r>
        <w:t>12</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_Toc10959 </w:instrText>
      </w:r>
      <w:r>
        <w:rPr>
          <w:szCs w:val="28"/>
        </w:rPr>
        <w:fldChar w:fldCharType="separate"/>
      </w:r>
      <w:r>
        <w:rPr>
          <w:rFonts w:hint="eastAsia"/>
        </w:rPr>
        <w:t>7. 经济效益分析</w:t>
      </w:r>
      <w:r>
        <w:tab/>
      </w:r>
      <w:r>
        <w:fldChar w:fldCharType="begin"/>
      </w:r>
      <w:r>
        <w:instrText xml:space="preserve"> PAGEREF _Toc10959 \h </w:instrText>
      </w:r>
      <w:r>
        <w:fldChar w:fldCharType="separate"/>
      </w:r>
      <w:r>
        <w:t>14</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_Toc27686 </w:instrText>
      </w:r>
      <w:r>
        <w:rPr>
          <w:szCs w:val="28"/>
        </w:rPr>
        <w:fldChar w:fldCharType="separate"/>
      </w:r>
      <w:r>
        <w:rPr>
          <w:rFonts w:hint="eastAsia"/>
        </w:rPr>
        <w:t>8. 减排效益分析</w:t>
      </w:r>
      <w:r>
        <w:tab/>
      </w:r>
      <w:r>
        <w:fldChar w:fldCharType="begin"/>
      </w:r>
      <w:r>
        <w:instrText xml:space="preserve"> PAGEREF _Toc27686 \h </w:instrText>
      </w:r>
      <w:r>
        <w:fldChar w:fldCharType="separate"/>
      </w:r>
      <w:r>
        <w:t>16</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_Toc3655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_Toc3655 \h </w:instrText>
      </w:r>
      <w:r>
        <w:fldChar w:fldCharType="separate"/>
      </w:r>
      <w:r>
        <w:t>17</w:t>
      </w:r>
      <w:r>
        <w:fldChar w:fldCharType="end"/>
      </w:r>
      <w:r>
        <w:rPr>
          <w:szCs w:val="28"/>
        </w:rPr>
        <w:fldChar w:fldCharType="end"/>
      </w:r>
    </w:p>
    <w:p>
      <w:pPr>
        <w:pStyle w:val="25"/>
        <w:tabs>
          <w:tab w:val="right" w:leader="dot" w:pos="9070"/>
          <w:tab w:val="clear" w:pos="180"/>
          <w:tab w:val="clear" w:pos="420"/>
          <w:tab w:val="clear" w:pos="9360"/>
        </w:tabs>
      </w:pPr>
      <w:r>
        <w:rPr>
          <w:szCs w:val="28"/>
        </w:rPr>
        <w:fldChar w:fldCharType="begin"/>
      </w:r>
      <w:r>
        <w:rPr>
          <w:szCs w:val="28"/>
        </w:rPr>
        <w:instrText xml:space="preserve"> HYPERLINK \l _Toc14818 </w:instrText>
      </w:r>
      <w:r>
        <w:rPr>
          <w:szCs w:val="28"/>
        </w:rPr>
        <w:fldChar w:fldCharType="separate"/>
      </w:r>
      <w:r>
        <w:rPr>
          <w:rFonts w:hint="eastAsia"/>
        </w:rPr>
        <w:t>附录</w:t>
      </w:r>
      <w:r>
        <w:tab/>
      </w:r>
      <w:r>
        <w:fldChar w:fldCharType="begin"/>
      </w:r>
      <w:r>
        <w:instrText xml:space="preserve"> PAGEREF _Toc14818 \h </w:instrText>
      </w:r>
      <w:r>
        <w:fldChar w:fldCharType="separate"/>
      </w:r>
      <w:r>
        <w:t>18</w:t>
      </w:r>
      <w:r>
        <w:fldChar w:fldCharType="end"/>
      </w:r>
      <w:r>
        <w:rPr>
          <w:szCs w:val="28"/>
        </w:rPr>
        <w:fldChar w:fldCharType="end"/>
      </w:r>
    </w:p>
    <w:p>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pPr>
        <w:pStyle w:val="2"/>
      </w:pPr>
      <w:r>
        <w:tab/>
      </w:r>
      <w:bookmarkStart w:id="12" w:name="_Toc20294"/>
      <w:bookmarkStart w:id="13" w:name="_Toc127542292"/>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pPr>
              <w:pStyle w:val="3"/>
              <w:rPr>
                <w:b/>
                <w:bCs/>
                <w:sz w:val="21"/>
                <w:szCs w:val="18"/>
                <w:lang w:val="en-US"/>
              </w:rPr>
            </w:pPr>
            <w:bookmarkStart w:id="14" w:name="项目名称1"/>
            <w:r>
              <w:rPr>
                <w:rFonts w:hint="eastAsia"/>
                <w:b/>
                <w:bCs/>
                <w:sz w:val="21"/>
                <w:szCs w:val="18"/>
                <w:lang w:val="zh-CN"/>
              </w:rPr>
              <w:t>医院门诊楼</w:t>
            </w:r>
            <w:bookmarkEnd w:id="14"/>
          </w:p>
        </w:tc>
      </w:tr>
      <w:tr>
        <w:tblPrEx>
          <w:tblCellMar>
            <w:top w:w="0" w:type="dxa"/>
            <w:left w:w="108" w:type="dxa"/>
            <w:bottom w:w="0" w:type="dxa"/>
            <w:right w:w="108" w:type="dxa"/>
          </w:tblCellMar>
        </w:tblPrEx>
        <w:trPr>
          <w:trHeight w:val="417" w:hRule="atLeast"/>
        </w:trPr>
        <w:tc>
          <w:tcPr>
            <w:tcW w:w="1418" w:type="dxa"/>
            <w:shd w:val="clear" w:color="auto" w:fill="F57C00"/>
          </w:tcPr>
          <w:p>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pPr>
              <w:pStyle w:val="3"/>
              <w:rPr>
                <w:sz w:val="21"/>
                <w:szCs w:val="18"/>
                <w:lang w:val="en-US"/>
              </w:rPr>
            </w:pPr>
            <w:bookmarkStart w:id="15" w:name="工程地点"/>
            <w:r>
              <w:rPr>
                <w:rFonts w:hint="eastAsia"/>
                <w:sz w:val="21"/>
                <w:szCs w:val="18"/>
                <w:lang w:val="zh-CN"/>
              </w:rPr>
              <w:t>合肥</w:t>
            </w:r>
            <w:bookmarkEnd w:id="15"/>
          </w:p>
        </w:tc>
      </w:tr>
      <w:tr>
        <w:tblPrEx>
          <w:tblCellMar>
            <w:top w:w="0" w:type="dxa"/>
            <w:left w:w="108" w:type="dxa"/>
            <w:bottom w:w="0" w:type="dxa"/>
            <w:right w:w="108" w:type="dxa"/>
          </w:tblCellMar>
        </w:tblPrEx>
        <w:trPr>
          <w:trHeight w:val="399" w:hRule="atLeast"/>
        </w:trPr>
        <w:tc>
          <w:tcPr>
            <w:tcW w:w="1418" w:type="dxa"/>
            <w:shd w:val="clear" w:color="auto" w:fill="F57C00"/>
          </w:tcPr>
          <w:p>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pPr>
              <w:pStyle w:val="3"/>
              <w:rPr>
                <w:sz w:val="21"/>
                <w:szCs w:val="18"/>
                <w:lang w:val="en-US"/>
              </w:rPr>
            </w:pPr>
            <w:r>
              <w:rPr>
                <w:rFonts w:hint="eastAsia"/>
                <w:sz w:val="21"/>
                <w:szCs w:val="18"/>
                <w:lang w:val="en-US"/>
              </w:rPr>
              <w:t>东经：</w:t>
            </w:r>
            <w:bookmarkStart w:id="16" w:name="经度"/>
            <w:r>
              <w:t>117°17′</w:t>
            </w:r>
            <w:bookmarkEnd w:id="16"/>
            <w:r>
              <w:rPr>
                <w:sz w:val="21"/>
                <w:szCs w:val="18"/>
                <w:lang w:val="en-US"/>
              </w:rPr>
              <w:t xml:space="preserve">              北纬：</w:t>
            </w:r>
            <w:bookmarkStart w:id="17" w:name="纬度"/>
            <w:r>
              <w:t>31°52′</w:t>
            </w:r>
            <w:bookmarkEnd w:id="17"/>
          </w:p>
        </w:tc>
      </w:tr>
    </w:tbl>
    <w:p>
      <w:pPr>
        <w:pStyle w:val="2"/>
      </w:pPr>
      <w:bookmarkStart w:id="18" w:name="_Toc119"/>
      <w:bookmarkStart w:id="19" w:name="_Toc512608177"/>
      <w:r>
        <w:rPr>
          <w:rFonts w:hint="eastAsia"/>
        </w:rPr>
        <w:t>标准依据</w:t>
      </w:r>
      <w:bookmarkEnd w:id="18"/>
      <w:bookmarkEnd w:id="19"/>
    </w:p>
    <w:p>
      <w:pPr>
        <w:pStyle w:val="3"/>
        <w:numPr>
          <w:ilvl w:val="0"/>
          <w:numId w:val="5"/>
        </w:numPr>
        <w:rPr>
          <w:lang w:val="en-US"/>
        </w:rPr>
      </w:pPr>
      <w:bookmarkStart w:id="20" w:name="_Toc512608179"/>
      <w:r>
        <w:rPr>
          <w:rFonts w:hint="eastAsia"/>
          <w:lang w:val="en-US"/>
        </w:rPr>
        <w:t>《建筑节能与可再生能源利用通用规范》GB 55015—2021</w:t>
      </w:r>
    </w:p>
    <w:p>
      <w:pPr>
        <w:pStyle w:val="3"/>
        <w:numPr>
          <w:ilvl w:val="0"/>
          <w:numId w:val="5"/>
        </w:numPr>
        <w:rPr>
          <w:lang w:val="en-US"/>
        </w:rPr>
      </w:pPr>
      <w:r>
        <w:rPr>
          <w:rFonts w:hint="eastAsia"/>
          <w:lang w:val="en-US"/>
        </w:rPr>
        <w:t>《光伏发电站设计规范》GB 50797—2012</w:t>
      </w:r>
    </w:p>
    <w:p>
      <w:pPr>
        <w:pStyle w:val="3"/>
        <w:numPr>
          <w:ilvl w:val="0"/>
          <w:numId w:val="5"/>
        </w:numPr>
        <w:rPr>
          <w:lang w:val="en-US"/>
        </w:rPr>
      </w:pPr>
      <w:r>
        <w:rPr>
          <w:rFonts w:hint="eastAsia"/>
          <w:lang w:val="en-US"/>
        </w:rPr>
        <w:t>《可再生能源建筑应用工程评价标准》GBT 50801—2013</w:t>
      </w:r>
    </w:p>
    <w:p>
      <w:pPr>
        <w:pStyle w:val="3"/>
        <w:numPr>
          <w:ilvl w:val="0"/>
          <w:numId w:val="5"/>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pPr>
        <w:pStyle w:val="3"/>
        <w:numPr>
          <w:ilvl w:val="0"/>
          <w:numId w:val="5"/>
        </w:numPr>
        <w:rPr>
          <w:lang w:val="en-US"/>
        </w:rPr>
      </w:pPr>
      <w:r>
        <w:rPr>
          <w:lang w:val="en-US"/>
        </w:rPr>
        <w:t>《绿色建筑评价标准》GB/T 50378—2019</w:t>
      </w:r>
      <w:r>
        <w:rPr>
          <w:rFonts w:hint="eastAsia"/>
          <w:lang w:val="en-US"/>
        </w:rPr>
        <w:t>（2024年版）</w:t>
      </w:r>
    </w:p>
    <w:p>
      <w:pPr>
        <w:pStyle w:val="3"/>
        <w:numPr>
          <w:ilvl w:val="0"/>
          <w:numId w:val="5"/>
        </w:numPr>
        <w:rPr>
          <w:lang w:val="en-US"/>
        </w:rPr>
      </w:pPr>
      <w:r>
        <w:rPr>
          <w:rFonts w:hint="eastAsia"/>
          <w:lang w:val="en-US"/>
        </w:rPr>
        <w:t>《绿色建筑评价技术细则》2</w:t>
      </w:r>
      <w:r>
        <w:rPr>
          <w:lang w:val="en-US"/>
        </w:rPr>
        <w:t>01</w:t>
      </w:r>
      <w:r>
        <w:rPr>
          <w:rFonts w:hint="eastAsia"/>
          <w:lang w:val="en-US"/>
        </w:rPr>
        <w:t>9</w:t>
      </w:r>
    </w:p>
    <w:bookmarkEnd w:id="20"/>
    <w:p>
      <w:pPr>
        <w:pStyle w:val="2"/>
      </w:pPr>
      <w:bookmarkStart w:id="21" w:name="_Toc10597"/>
      <w:r>
        <w:rPr>
          <w:rFonts w:hint="eastAsia"/>
        </w:rPr>
        <w:t>太阳能资源分析</w:t>
      </w:r>
      <w:bookmarkEnd w:id="21"/>
    </w:p>
    <w:p>
      <w:pPr>
        <w:pStyle w:val="4"/>
        <w:rPr>
          <w:lang w:val="zh-CN"/>
        </w:rPr>
      </w:pPr>
      <w:bookmarkStart w:id="22" w:name="_Toc2252"/>
      <w:r>
        <w:rPr>
          <w:rFonts w:hint="eastAsia"/>
        </w:rPr>
        <w:t>太阳能资源概况</w:t>
      </w:r>
      <w:bookmarkEnd w:id="22"/>
    </w:p>
    <w:p>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pPr>
              <w:pStyle w:val="3"/>
              <w:jc w:val="center"/>
              <w:rPr>
                <w:b/>
                <w:bCs/>
                <w:sz w:val="21"/>
                <w:lang w:val="en-US"/>
              </w:rPr>
            </w:pPr>
            <w:bookmarkStart w:id="23" w:name="工程地点3"/>
            <w:r>
              <w:rPr>
                <w:rFonts w:hint="eastAsia"/>
                <w:b/>
                <w:bCs/>
                <w:sz w:val="21"/>
                <w:lang w:val="en-US"/>
              </w:rPr>
              <w:t>合肥</w:t>
            </w:r>
            <w:bookmarkEnd w:id="23"/>
          </w:p>
        </w:tc>
        <w:tc>
          <w:tcPr>
            <w:tcW w:w="1843" w:type="dxa"/>
            <w:shd w:val="clear" w:color="auto" w:fill="ECECEC" w:themeFill="accent3" w:themeFillTint="33"/>
            <w:vAlign w:val="center"/>
          </w:tcPr>
          <w:p>
            <w:pPr>
              <w:pStyle w:val="3"/>
              <w:jc w:val="center"/>
              <w:rPr>
                <w:sz w:val="21"/>
                <w:lang w:val="en-US"/>
              </w:rPr>
            </w:pPr>
            <w:bookmarkStart w:id="24" w:name="水平面年总辐照量"/>
            <w:r>
              <w:rPr>
                <w:rFonts w:hint="eastAsia"/>
                <w:sz w:val="21"/>
                <w:lang w:val="en-US"/>
              </w:rPr>
              <w:t>1133.7</w:t>
            </w:r>
            <w:bookmarkEnd w:id="24"/>
          </w:p>
        </w:tc>
        <w:tc>
          <w:tcPr>
            <w:tcW w:w="2409" w:type="dxa"/>
            <w:shd w:val="clear" w:color="auto" w:fill="ECECEC" w:themeFill="accent3" w:themeFillTint="33"/>
            <w:vAlign w:val="center"/>
          </w:tcPr>
          <w:p>
            <w:pPr>
              <w:pStyle w:val="3"/>
              <w:jc w:val="center"/>
              <w:rPr>
                <w:sz w:val="21"/>
                <w:lang w:val="en-US"/>
              </w:rPr>
            </w:pPr>
            <w:bookmarkStart w:id="25" w:name="水平面日辐照量"/>
            <w:r>
              <w:rPr>
                <w:rFonts w:hint="eastAsia"/>
                <w:sz w:val="21"/>
                <w:lang w:val="en-US"/>
              </w:rPr>
              <w:t>11181.5</w:t>
            </w:r>
            <w:bookmarkEnd w:id="25"/>
          </w:p>
        </w:tc>
        <w:tc>
          <w:tcPr>
            <w:tcW w:w="1843" w:type="dxa"/>
            <w:shd w:val="clear" w:color="auto" w:fill="ECECEC" w:themeFill="accent3" w:themeFillTint="33"/>
            <w:vAlign w:val="center"/>
          </w:tcPr>
          <w:p>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pPr>
              <w:pStyle w:val="3"/>
              <w:jc w:val="center"/>
              <w:rPr>
                <w:sz w:val="21"/>
                <w:lang w:val="en-US"/>
              </w:rPr>
            </w:pPr>
            <w:bookmarkStart w:id="27" w:name="峰值日照时数"/>
            <w:r>
              <w:rPr>
                <w:rFonts w:hint="eastAsia"/>
                <w:sz w:val="21"/>
                <w:lang w:val="en-US"/>
              </w:rPr>
              <w:t>3</w:t>
            </w:r>
            <w:r>
              <w:rPr>
                <w:sz w:val="21"/>
                <w:lang w:val="en-US"/>
              </w:rPr>
              <w:t>.83</w:t>
            </w:r>
            <w:bookmarkEnd w:id="27"/>
          </w:p>
        </w:tc>
      </w:tr>
    </w:tbl>
    <w:p>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pPr>
        <w:spacing w:before="240"/>
        <w:jc w:val="center"/>
        <w:rPr>
          <w:lang w:val="en-US"/>
        </w:rPr>
      </w:pPr>
      <w:bookmarkStart w:id="29" w:name="水平面总辐照量图"/>
      <w:bookmarkEnd w:id="29"/>
      <w:bookmarkStart w:id="30" w:name="逐月法向直射辐照量图"/>
      <w:bookmarkEnd w:id="30"/>
      <w:r>
        <w:drawing>
          <wp:inline distT="0" distB="0" distL="0" distR="0">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pPr>
        <w:spacing w:before="240"/>
        <w:jc w:val="center"/>
      </w:pPr>
      <w:bookmarkStart w:id="32" w:name="逐月平均温度图"/>
      <w:bookmarkEnd w:id="32"/>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pPr>
        <w:spacing w:before="240"/>
        <w:jc w:val="center"/>
      </w:pPr>
      <w:bookmarkStart w:id="33" w:name="逐月平均风速图"/>
      <w:bookmarkEnd w:id="33"/>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p>
      <w:pPr>
        <w:pStyle w:val="4"/>
        <w:rPr>
          <w:szCs w:val="21"/>
        </w:rPr>
      </w:pPr>
      <w:bookmarkStart w:id="34" w:name="_Toc99707948"/>
      <w:bookmarkStart w:id="35" w:name="_Toc27896"/>
      <w:r>
        <w:t>太阳能综合评价</w:t>
      </w:r>
      <w:bookmarkEnd w:id="34"/>
      <w:bookmarkEnd w:id="35"/>
    </w:p>
    <w:p>
      <w:pPr>
        <w:pStyle w:val="49"/>
        <w:numPr>
          <w:ilvl w:val="0"/>
          <w:numId w:val="6"/>
        </w:numPr>
        <w:ind w:firstLineChars="0"/>
        <w:rPr>
          <w:b/>
          <w:sz w:val="24"/>
          <w:szCs w:val="21"/>
        </w:rPr>
      </w:pPr>
      <w:r>
        <w:rPr>
          <w:rFonts w:hint="eastAsia"/>
          <w:b/>
          <w:sz w:val="24"/>
          <w:szCs w:val="21"/>
        </w:rPr>
        <w:t>辐照量等级分析</w:t>
      </w:r>
    </w:p>
    <w:p>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pPr>
              <w:spacing w:line="360" w:lineRule="exact"/>
              <w:jc w:val="center"/>
            </w:pPr>
            <w:r>
              <w:rPr>
                <w:rFonts w:hint="eastAsia"/>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pPr>
              <w:spacing w:line="360" w:lineRule="exact"/>
              <w:jc w:val="center"/>
            </w:pPr>
            <w:r>
              <w:rPr>
                <w:rFonts w:hint="eastAsia"/>
              </w:rPr>
              <w:t>D</w:t>
            </w:r>
          </w:p>
        </w:tc>
      </w:tr>
    </w:tbl>
    <w:p>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1133.7</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C级太阳能资源丰富</w:t>
      </w:r>
      <w:bookmarkEnd w:id="37"/>
      <w:r>
        <w:rPr>
          <w:rFonts w:ascii="微软雅黑" w:hAnsi="微软雅黑" w:cs="微软雅黑"/>
          <w:sz w:val="24"/>
          <w:szCs w:val="21"/>
          <w:lang w:val="en-GB"/>
        </w:rPr>
        <w:t>区域。</w:t>
      </w:r>
    </w:p>
    <w:p>
      <w:pPr>
        <w:pStyle w:val="49"/>
        <w:numPr>
          <w:ilvl w:val="0"/>
          <w:numId w:val="6"/>
        </w:numPr>
        <w:ind w:firstLineChars="0"/>
        <w:rPr>
          <w:sz w:val="24"/>
          <w:szCs w:val="21"/>
        </w:rPr>
      </w:pPr>
      <w:r>
        <w:rPr>
          <w:rFonts w:hint="eastAsia"/>
          <w:b/>
          <w:sz w:val="24"/>
          <w:szCs w:val="21"/>
        </w:rPr>
        <w:t>直射比等级分析</w:t>
      </w:r>
    </w:p>
    <w:p>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直接辐射主导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直接辐射较多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散射辐射主导</w:t>
            </w:r>
          </w:p>
        </w:tc>
      </w:tr>
    </w:tbl>
    <w:p>
      <w:pPr>
        <w:ind w:firstLine="420" w:firstLineChars="200"/>
        <w:rPr>
          <w:lang w:val="en-US"/>
        </w:rPr>
      </w:pPr>
    </w:p>
    <w:p>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pPr>
        <w:pStyle w:val="3"/>
        <w:spacing w:before="240" w:line="276" w:lineRule="auto"/>
        <w:ind w:firstLine="480" w:firstLineChars="200"/>
      </w:pPr>
      <w:r>
        <w:rPr>
          <w:rFonts w:hint="eastAsia"/>
        </w:rPr>
        <w:t>本项目全年总辐照量数据直射比为</w:t>
      </w:r>
      <w:bookmarkStart w:id="40" w:name="直射比DHRR"/>
      <w:r>
        <w:t>0.48,散射辐射较多,直射比等级属于C级等级中地区</w:t>
      </w:r>
      <w:bookmarkEnd w:id="40"/>
      <w:r>
        <w:t>。</w:t>
      </w:r>
    </w:p>
    <w:p>
      <w:pPr>
        <w:pStyle w:val="3"/>
        <w:numPr>
          <w:ilvl w:val="0"/>
          <w:numId w:val="7"/>
        </w:numPr>
        <w:spacing w:line="276" w:lineRule="auto"/>
        <w:rPr>
          <w:b/>
        </w:rPr>
      </w:pPr>
      <w:r>
        <w:rPr>
          <w:rFonts w:hint="eastAsia"/>
          <w:b/>
        </w:rPr>
        <w:t>太阳能资源稳定度分析</w:t>
      </w:r>
    </w:p>
    <w:p>
      <w:pPr>
        <w:pStyle w:val="3"/>
        <w:ind w:firstLine="480" w:firstLineChars="200"/>
      </w:pPr>
      <w:r>
        <w:rPr>
          <w:rFonts w:hint="eastAsia"/>
        </w:rPr>
        <w:t>太阳能资源稳定度是太阳能资源年内变化的状态和幅度的体现，用全年中各月平均日水平面总辐照量的最小值与最大值之比表示。</w:t>
      </w:r>
    </w:p>
    <w:p>
      <w:pPr>
        <w:pStyle w:val="3"/>
        <w:ind w:firstLine="480" w:firstLineChars="200"/>
      </w:pPr>
      <w:r>
        <w:rPr>
          <w:rFonts w:hint="eastAsia"/>
        </w:rPr>
        <w:t>根据《太阳能资源等级总辐射》（</w:t>
      </w:r>
      <w:r>
        <w:t>GB/T31155—2014）的分类方法，稳定度划分为四个等级：很稳定（A）、稳定（B）、一般（C）、欠稳定（D）。</w:t>
      </w:r>
    </w:p>
    <w:p>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pPr>
              <w:spacing w:line="360" w:lineRule="exact"/>
              <w:jc w:val="center"/>
            </w:pPr>
            <w:r>
              <w:t>D</w:t>
            </w:r>
          </w:p>
        </w:tc>
      </w:tr>
    </w:tbl>
    <w:p>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0.40，等级B稳定地区</w:t>
      </w:r>
      <w:bookmarkEnd w:id="41"/>
      <w:r>
        <w:rPr>
          <w:rFonts w:hint="eastAsia"/>
        </w:rPr>
        <w:t>。</w:t>
      </w:r>
    </w:p>
    <w:p>
      <w:pPr>
        <w:pStyle w:val="2"/>
      </w:pPr>
      <w:bookmarkStart w:id="42" w:name="_Toc18047"/>
      <w:bookmarkStart w:id="43" w:name="_Toc127542295"/>
      <w:r>
        <w:rPr>
          <w:rFonts w:hint="eastAsia"/>
        </w:rPr>
        <w:t>软件选用</w:t>
      </w:r>
      <w:bookmarkEnd w:id="42"/>
      <w:bookmarkEnd w:id="43"/>
    </w:p>
    <w:p>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pPr>
        <w:pStyle w:val="2"/>
      </w:pPr>
      <w:bookmarkStart w:id="44" w:name="_Toc16439"/>
      <w:r>
        <w:rPr>
          <w:rFonts w:hint="eastAsia"/>
        </w:rPr>
        <w:t>光伏系统设计</w:t>
      </w:r>
      <w:bookmarkEnd w:id="44"/>
    </w:p>
    <w:p>
      <w:pPr>
        <w:pStyle w:val="3"/>
        <w:ind w:firstLine="480" w:firstLineChars="200"/>
      </w:pPr>
      <w:bookmarkStart w:id="45" w:name="_Toc264569232"/>
      <w:bookmarkStart w:id="46" w:name="_Toc512608180"/>
      <w:bookmarkStart w:id="47" w:name="_Toc264043625"/>
      <w:bookmarkStart w:id="48" w:name="_Toc275165382"/>
      <w:bookmarkStart w:id="49" w:name="_Toc290149054"/>
      <w:bookmarkStart w:id="50" w:name="_Toc312399791"/>
      <w:bookmarkStart w:id="51" w:name="_Toc290209336"/>
      <w:bookmarkStart w:id="52" w:name="_Toc29020931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pPr>
        <w:pStyle w:val="4"/>
      </w:pPr>
      <w:bookmarkStart w:id="53" w:name="_Toc14039"/>
      <w:r>
        <w:rPr>
          <w:rFonts w:hint="eastAsia"/>
        </w:rPr>
        <w:t>阴影遮挡分析</w:t>
      </w:r>
      <w:bookmarkEnd w:id="53"/>
    </w:p>
    <w:p>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pPr>
        <w:pStyle w:val="3"/>
        <w:ind w:firstLine="480" w:firstLineChars="200"/>
        <w:rPr>
          <w:lang w:val="en-US"/>
        </w:rPr>
      </w:pPr>
    </w:p>
    <w:p>
      <w:pPr>
        <w:pStyle w:val="3"/>
        <w:spacing w:before="240"/>
        <w:jc w:val="center"/>
        <w:rPr>
          <w:lang w:val="en-US"/>
        </w:rPr>
      </w:pPr>
      <w:bookmarkStart w:id="54" w:name="遮挡分析图"/>
      <w:bookmarkEnd w:id="54"/>
      <w:r>
        <w:drawing>
          <wp:inline distT="0" distB="0" distL="0" distR="0">
            <wp:extent cx="5667375" cy="31432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143250"/>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pPr>
        <w:pStyle w:val="3"/>
        <w:ind w:firstLine="480" w:firstLineChars="200"/>
        <w:rPr>
          <w:strike/>
          <w:lang w:val="en-US"/>
        </w:rPr>
      </w:pPr>
    </w:p>
    <w:p>
      <w:pPr>
        <w:pStyle w:val="4"/>
      </w:pPr>
      <w:bookmarkStart w:id="55" w:name="_Toc916"/>
      <w:r>
        <w:t>辐照分析</w:t>
      </w:r>
      <w:bookmarkEnd w:id="55"/>
    </w:p>
    <w:p>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pPr>
        <w:pStyle w:val="15"/>
      </w:pPr>
      <w:bookmarkStart w:id="56" w:name="辐照分析彩图"/>
      <w:bookmarkEnd w:id="56"/>
      <w:r>
        <w:drawing>
          <wp:inline distT="0" distB="0" distL="0" distR="0">
            <wp:extent cx="5667375" cy="49434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4943475"/>
                    </a:xfrm>
                    <a:prstGeom prst="rect">
                      <a:avLst/>
                    </a:prstGeom>
                  </pic:spPr>
                </pic:pic>
              </a:graphicData>
            </a:graphic>
          </wp:inline>
        </w:drawing>
      </w:r>
    </w:p>
    <w:p>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pPr>
        <w:pStyle w:val="4"/>
      </w:pPr>
      <w:bookmarkStart w:id="57" w:name="_Toc14261"/>
      <w:r>
        <w:rPr>
          <w:rFonts w:hint="eastAsia"/>
        </w:rPr>
        <w:t>光伏方阵设计</w:t>
      </w:r>
      <w:bookmarkEnd w:id="57"/>
    </w:p>
    <w:p>
      <w:pPr>
        <w:pStyle w:val="3"/>
        <w:ind w:firstLine="480"/>
        <w:rPr>
          <w:lang w:val="en-US"/>
        </w:rPr>
      </w:pPr>
      <w:r>
        <w:rPr>
          <w:rFonts w:hint="eastAsia"/>
          <w:lang w:val="en-US"/>
        </w:rPr>
        <w:t>通过对</w:t>
      </w:r>
      <w:bookmarkStart w:id="58" w:name="工程地点2"/>
      <w:r>
        <w:rPr>
          <w:rFonts w:hint="eastAsia"/>
        </w:rPr>
        <w:t>合肥</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pPr>
        <w:pStyle w:val="5"/>
      </w:pPr>
      <w:bookmarkStart w:id="59" w:name="_Toc1978"/>
      <w:r>
        <w:rPr>
          <w:rFonts w:hint="eastAsia"/>
        </w:rPr>
        <w:t>安装倾角</w:t>
      </w:r>
      <w:bookmarkEnd w:id="59"/>
    </w:p>
    <w:p>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40.9</w:t>
      </w:r>
      <w:bookmarkEnd w:id="60"/>
      <w:r>
        <w:rPr>
          <w:rFonts w:hint="eastAsia"/>
          <w:b/>
        </w:rPr>
        <w:t>°；并网系统推荐倾角为</w:t>
      </w:r>
      <w:bookmarkStart w:id="61" w:name="并网推荐倾角"/>
      <w:r>
        <w:rPr>
          <w:rFonts w:hint="eastAsia"/>
          <w:b/>
        </w:rPr>
        <w:t>26.9</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pPr>
        <w:pStyle w:val="5"/>
      </w:pPr>
      <w:bookmarkStart w:id="62" w:name="_Toc24611"/>
      <w:r>
        <w:rPr>
          <w:rFonts w:hint="eastAsia"/>
        </w:rPr>
        <w:t>方阵设计</w:t>
      </w:r>
      <w:bookmarkEnd w:id="62"/>
    </w:p>
    <w:p>
      <w:pPr>
        <w:pStyle w:val="3"/>
        <w:ind w:firstLine="480"/>
        <w:rPr>
          <w:lang w:val="en-US"/>
        </w:rPr>
      </w:pPr>
      <w:r>
        <w:rPr>
          <w:rFonts w:hint="eastAsia"/>
          <w:lang w:val="en-US"/>
        </w:rPr>
        <w:t>本项目光伏方阵的安装方案如下：</w:t>
      </w:r>
    </w:p>
    <w:p>
      <w:pPr>
        <w:pStyle w:val="3"/>
        <w:jc w:val="center"/>
      </w:pPr>
      <w:bookmarkStart w:id="63" w:name="模型观察图"/>
      <w:bookmarkEnd w:id="63"/>
      <w:r>
        <w:drawing>
          <wp:inline distT="0" distB="0" distL="0" distR="0">
            <wp:extent cx="5667375" cy="2809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28098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pPr>
        <w:pStyle w:val="4"/>
      </w:pPr>
      <w:bookmarkStart w:id="64" w:name="_Toc5230"/>
      <w:r>
        <w:rPr>
          <w:rFonts w:hint="eastAsia"/>
        </w:rPr>
        <w:t>光伏组件和逆变器的选择</w:t>
      </w:r>
      <w:bookmarkEnd w:id="64"/>
    </w:p>
    <w:p>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51"/>
        <w:gridCol w:w="1264"/>
        <w:gridCol w:w="2373"/>
        <w:gridCol w:w="586"/>
        <w:gridCol w:w="651"/>
        <w:gridCol w:w="651"/>
        <w:gridCol w:w="651"/>
        <w:gridCol w:w="689"/>
        <w:gridCol w:w="651"/>
        <w:gridCol w:w="1159"/>
      </w:tblGrid>
      <w:tr>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tblPrEx>
          <w:tblCellMar>
            <w:top w:w="0" w:type="dxa"/>
            <w:left w:w="108" w:type="dxa"/>
            <w:bottom w:w="0" w:type="dxa"/>
            <w:right w:w="108" w:type="dxa"/>
          </w:tblCellMar>
        </w:tblPrEx>
        <w:tc>
          <w:tcPr>
            <w:tcW w:w="0" w:type="auto"/>
            <w:shd w:val="clear" w:color="auto" w:fill="ECECEC" w:themeFill="accent3" w:themeFillTint="33"/>
          </w:tcPr>
          <w:p>
            <w:pPr>
              <w:jc w:val="center"/>
              <w:rPr>
                <w:b w:val="0"/>
                <w:bCs w:val="0"/>
                <w:szCs w:val="21"/>
              </w:rPr>
            </w:pPr>
            <w:r>
              <w:rPr>
                <w:b w:val="0"/>
                <w:bCs w:val="0"/>
                <w:szCs w:val="21"/>
              </w:rPr>
              <w:t>1</w:t>
            </w:r>
          </w:p>
        </w:tc>
        <w:tc>
          <w:tcPr>
            <w:tcW w:w="0" w:type="auto"/>
            <w:shd w:val="clear" w:color="auto" w:fill="ECECEC" w:themeFill="accent3" w:themeFillTint="33"/>
          </w:tcPr>
          <w:p>
            <w:pPr>
              <w:jc w:val="center"/>
              <w:rPr>
                <w:szCs w:val="21"/>
              </w:rPr>
            </w:pPr>
            <w:r>
              <w:rPr>
                <w:szCs w:val="21"/>
              </w:rPr>
              <w:t>1650×992</w:t>
            </w:r>
          </w:p>
        </w:tc>
        <w:tc>
          <w:tcPr>
            <w:tcW w:w="2372" w:type="dxa"/>
            <w:shd w:val="clear" w:color="auto" w:fill="ECECEC" w:themeFill="accent3" w:themeFillTint="33"/>
          </w:tcPr>
          <w:p>
            <w:pPr>
              <w:jc w:val="center"/>
              <w:rPr>
                <w:szCs w:val="21"/>
              </w:rPr>
            </w:pPr>
            <w:r>
              <w:rPr>
                <w:szCs w:val="21"/>
              </w:rPr>
              <w:t>单晶硅</w:t>
            </w:r>
          </w:p>
        </w:tc>
        <w:tc>
          <w:tcPr>
            <w:tcW w:w="586" w:type="dxa"/>
            <w:shd w:val="clear" w:color="auto" w:fill="ECECEC" w:themeFill="accent3" w:themeFillTint="33"/>
          </w:tcPr>
          <w:p>
            <w:pPr>
              <w:jc w:val="center"/>
              <w:rPr>
                <w:szCs w:val="21"/>
              </w:rPr>
            </w:pPr>
            <w:r>
              <w:rPr>
                <w:szCs w:val="21"/>
              </w:rPr>
              <w:t>723</w:t>
            </w:r>
          </w:p>
        </w:tc>
        <w:tc>
          <w:tcPr>
            <w:tcW w:w="0" w:type="auto"/>
            <w:shd w:val="clear" w:color="auto" w:fill="ECECEC" w:themeFill="accent3" w:themeFillTint="33"/>
          </w:tcPr>
          <w:p>
            <w:pPr>
              <w:jc w:val="center"/>
              <w:rPr>
                <w:szCs w:val="21"/>
              </w:rPr>
            </w:pPr>
            <w:r>
              <w:rPr>
                <w:szCs w:val="21"/>
              </w:rPr>
              <w:t>275</w:t>
            </w:r>
          </w:p>
        </w:tc>
        <w:tc>
          <w:tcPr>
            <w:tcW w:w="0" w:type="auto"/>
            <w:shd w:val="clear" w:color="auto" w:fill="ECECEC" w:themeFill="accent3" w:themeFillTint="33"/>
          </w:tcPr>
          <w:p>
            <w:pPr>
              <w:jc w:val="center"/>
              <w:rPr>
                <w:szCs w:val="21"/>
              </w:rPr>
            </w:pPr>
            <w:r>
              <w:rPr>
                <w:szCs w:val="21"/>
              </w:rPr>
              <w:t>3</w:t>
            </w:r>
          </w:p>
        </w:tc>
        <w:tc>
          <w:tcPr>
            <w:tcW w:w="0" w:type="auto"/>
            <w:shd w:val="clear" w:color="auto" w:fill="ECECEC" w:themeFill="accent3" w:themeFillTint="33"/>
          </w:tcPr>
          <w:p>
            <w:pPr>
              <w:jc w:val="center"/>
              <w:rPr>
                <w:szCs w:val="21"/>
              </w:rPr>
            </w:pPr>
            <w:r>
              <w:rPr>
                <w:szCs w:val="21"/>
              </w:rPr>
              <w:t>0.5</w:t>
            </w:r>
          </w:p>
        </w:tc>
        <w:tc>
          <w:tcPr>
            <w:tcW w:w="0" w:type="auto"/>
            <w:shd w:val="clear" w:color="auto" w:fill="ECECEC" w:themeFill="accent3" w:themeFillTint="33"/>
          </w:tcPr>
          <w:p>
            <w:pPr>
              <w:jc w:val="center"/>
              <w:rPr>
                <w:szCs w:val="21"/>
              </w:rPr>
            </w:pPr>
            <w:r>
              <w:rPr>
                <w:szCs w:val="21"/>
              </w:rPr>
              <w:t>25℃</w:t>
            </w:r>
          </w:p>
        </w:tc>
        <w:tc>
          <w:tcPr>
            <w:tcW w:w="0" w:type="auto"/>
            <w:shd w:val="clear" w:color="auto" w:fill="ECECEC" w:themeFill="accent3" w:themeFillTint="33"/>
          </w:tcPr>
          <w:p>
            <w:pPr>
              <w:jc w:val="center"/>
              <w:rPr>
                <w:szCs w:val="21"/>
              </w:rPr>
            </w:pPr>
            <w:r>
              <w:rPr>
                <w:szCs w:val="21"/>
              </w:rPr>
              <w:t>3%</w:t>
            </w:r>
          </w:p>
        </w:tc>
        <w:tc>
          <w:tcPr>
            <w:tcW w:w="1158" w:type="dxa"/>
            <w:shd w:val="clear" w:color="auto" w:fill="ECECEC" w:themeFill="accent3" w:themeFillTint="33"/>
          </w:tcPr>
          <w:p>
            <w:pPr>
              <w:jc w:val="center"/>
              <w:rPr>
                <w:szCs w:val="21"/>
              </w:rPr>
            </w:pPr>
            <w:r>
              <w:rPr>
                <w:szCs w:val="21"/>
              </w:rPr>
              <w:t>0.7%</w:t>
            </w:r>
          </w:p>
        </w:tc>
      </w:tr>
      <w:bookmarkEnd w:id="65"/>
    </w:tbl>
    <w:p>
      <w:pPr>
        <w:jc w:val="center"/>
      </w:pPr>
    </w:p>
    <w:p>
      <w:pPr>
        <w:pStyle w:val="2"/>
      </w:pPr>
      <w:bookmarkStart w:id="66" w:name="_Toc14893"/>
      <w:r>
        <w:rPr>
          <w:rFonts w:hint="eastAsia"/>
        </w:rPr>
        <w:t>光伏发电产量</w:t>
      </w:r>
      <w:bookmarkEnd w:id="66"/>
    </w:p>
    <w:p>
      <w:pPr>
        <w:pStyle w:val="4"/>
      </w:pPr>
      <w:bookmarkStart w:id="67" w:name="_Toc20348"/>
      <w:r>
        <w:rPr>
          <w:rFonts w:hint="eastAsia"/>
        </w:rPr>
        <w:t>发电量算法</w:t>
      </w:r>
      <w:bookmarkEnd w:id="67"/>
    </w:p>
    <w:p>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pPr>
        <w:pStyle w:val="3"/>
        <w:ind w:left="420" w:leftChars="200"/>
      </w:pPr>
      <w:r>
        <w:rPr>
          <w:rFonts w:hint="eastAsia"/>
        </w:rPr>
        <w:t>式中E</w:t>
      </w:r>
      <w:r>
        <w:rPr>
          <w:rFonts w:hint="eastAsia"/>
          <w:vertAlign w:val="subscript"/>
        </w:rPr>
        <w:t>p</w:t>
      </w:r>
      <w:r>
        <w:rPr>
          <w:rFonts w:hint="eastAsia"/>
        </w:rPr>
        <w:t>——发电量（kWh）；</w:t>
      </w:r>
    </w:p>
    <w:p>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pPr>
        <w:pStyle w:val="3"/>
        <w:ind w:left="420" w:leftChars="200"/>
      </w:pPr>
      <w:r>
        <w:t>P</w:t>
      </w:r>
      <w:r>
        <w:rPr>
          <w:rFonts w:hint="eastAsia"/>
        </w:rPr>
        <w:t>——装机容量（kW</w:t>
      </w:r>
      <w:r>
        <w:rPr>
          <w:rFonts w:hint="eastAsia"/>
          <w:vertAlign w:val="subscript"/>
        </w:rPr>
        <w:t>p</w:t>
      </w:r>
      <w:r>
        <w:rPr>
          <w:rFonts w:hint="eastAsia"/>
        </w:rPr>
        <w:t>）；</w:t>
      </w:r>
    </w:p>
    <w:p>
      <w:pPr>
        <w:pStyle w:val="3"/>
        <w:ind w:left="420" w:leftChars="200"/>
      </w:pPr>
      <w:r>
        <w:rPr>
          <w:rFonts w:hint="eastAsia"/>
        </w:rPr>
        <w:t>K——综合效率系数，受逆变器效率、集电线路损耗系数、光伏组件表面污染系数、修正系数等参数影响。</w:t>
      </w:r>
    </w:p>
    <w:p>
      <w:pPr>
        <w:pStyle w:val="4"/>
      </w:pPr>
      <w:bookmarkStart w:id="68" w:name="_Toc20631"/>
      <w:r>
        <w:rPr>
          <w:rFonts w:hint="eastAsia"/>
        </w:rPr>
        <w:t>系统效率和损失</w:t>
      </w:r>
      <w:bookmarkEnd w:id="68"/>
    </w:p>
    <w:p>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pPr>
        <w:pStyle w:val="3"/>
        <w:ind w:firstLine="480" w:firstLineChars="200"/>
        <w:rPr>
          <w:lang w:val="en-US"/>
        </w:rPr>
      </w:pPr>
      <w:r>
        <w:rPr>
          <w:lang w:val="en-US"/>
        </w:rPr>
        <w:t>各影响因素参考值如下表所示：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组件类型</w:t>
            </w:r>
          </w:p>
        </w:tc>
        <w:tc>
          <w:tcPr>
            <w:tcW w:w="2320" w:type="dxa"/>
            <w:shd w:val="clear" w:color="auto" w:fill="ECECEC" w:themeFill="accent3" w:themeFillTint="33"/>
          </w:tcPr>
          <w:p>
            <w:r>
              <w:t>单晶硅</w:t>
            </w:r>
          </w:p>
        </w:tc>
        <w:tc>
          <w:tcPr>
            <w:tcW w:w="2321" w:type="dxa"/>
            <w:shd w:val="clear" w:color="auto" w:fill="ECECEC" w:themeFill="accent3" w:themeFillTint="33"/>
          </w:tcPr>
          <w:p>
            <w:r>
              <w:t>组件数量</w:t>
            </w:r>
          </w:p>
        </w:tc>
        <w:tc>
          <w:tcPr>
            <w:tcW w:w="2321" w:type="dxa"/>
            <w:shd w:val="clear" w:color="auto" w:fill="ECECEC" w:themeFill="accent3" w:themeFillTint="33"/>
          </w:tcPr>
          <w:p>
            <w:r>
              <w:t>723</w:t>
            </w:r>
          </w:p>
        </w:tc>
      </w:tr>
      <w:tr>
        <w:tblPrEx>
          <w:tblCellMar>
            <w:top w:w="0" w:type="dxa"/>
            <w:left w:w="108" w:type="dxa"/>
            <w:bottom w:w="0" w:type="dxa"/>
            <w:right w:w="108" w:type="dxa"/>
          </w:tblCellMar>
        </w:tblPrEx>
        <w:tc>
          <w:tcPr>
            <w:tcW w:w="2320" w:type="dxa"/>
          </w:tcPr>
          <w:p>
            <w:pPr>
              <w:rPr>
                <w:b w:val="0"/>
                <w:bCs w:val="0"/>
              </w:rPr>
            </w:pPr>
            <w:r>
              <w:rPr>
                <w:b w:val="0"/>
                <w:bCs w:val="0"/>
              </w:rPr>
              <w:t>总装机量</w:t>
            </w:r>
          </w:p>
        </w:tc>
        <w:tc>
          <w:tcPr>
            <w:tcW w:w="2320" w:type="dxa"/>
          </w:tcPr>
          <w:p>
            <w:r>
              <w:t>198.825kW</w:t>
            </w:r>
          </w:p>
        </w:tc>
        <w:tc>
          <w:tcPr>
            <w:tcW w:w="2321" w:type="dxa"/>
          </w:tcPr>
          <w:p>
            <w:r>
              <w:t>组件安装方式</w:t>
            </w:r>
          </w:p>
        </w:tc>
        <w:tc>
          <w:tcPr>
            <w:tcW w:w="2321" w:type="dxa"/>
          </w:tcPr>
          <w:p>
            <w:r>
              <w:t>固定集成</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组件面积</w:t>
            </w:r>
          </w:p>
        </w:tc>
        <w:tc>
          <w:tcPr>
            <w:tcW w:w="2320" w:type="dxa"/>
            <w:shd w:val="clear" w:color="auto" w:fill="ECECEC" w:themeFill="accent3" w:themeFillTint="33"/>
          </w:tcPr>
          <w:p>
            <w:r>
              <w:t>1183㎡</w:t>
            </w:r>
          </w:p>
        </w:tc>
        <w:tc>
          <w:tcPr>
            <w:tcW w:w="2321" w:type="dxa"/>
            <w:shd w:val="clear" w:color="auto" w:fill="ECECEC" w:themeFill="accent3" w:themeFillTint="33"/>
          </w:tcPr>
          <w:p>
            <w:r>
              <w:t>逆变器效率</w:t>
            </w:r>
          </w:p>
        </w:tc>
        <w:tc>
          <w:tcPr>
            <w:tcW w:w="2321" w:type="dxa"/>
            <w:shd w:val="clear" w:color="auto" w:fill="ECECEC" w:themeFill="accent3" w:themeFillTint="33"/>
          </w:tcPr>
          <w:p>
            <w:r>
              <w:t>96%</w:t>
            </w:r>
          </w:p>
        </w:tc>
      </w:tr>
      <w:tr>
        <w:tblPrEx>
          <w:tblCellMar>
            <w:top w:w="0" w:type="dxa"/>
            <w:left w:w="108" w:type="dxa"/>
            <w:bottom w:w="0" w:type="dxa"/>
            <w:right w:w="108" w:type="dxa"/>
          </w:tblCellMar>
        </w:tblPrEx>
        <w:tc>
          <w:tcPr>
            <w:tcW w:w="2320" w:type="dxa"/>
          </w:tcPr>
          <w:p>
            <w:pPr>
              <w:rPr>
                <w:b w:val="0"/>
                <w:bCs w:val="0"/>
              </w:rPr>
            </w:pPr>
            <w:r>
              <w:rPr>
                <w:b w:val="0"/>
                <w:bCs w:val="0"/>
              </w:rPr>
              <w:t>逆变器功率</w:t>
            </w:r>
          </w:p>
        </w:tc>
        <w:tc>
          <w:tcPr>
            <w:tcW w:w="2320" w:type="dxa"/>
          </w:tcPr>
          <w:p>
            <w:r>
              <w:t>6.75kW</w:t>
            </w:r>
          </w:p>
        </w:tc>
        <w:tc>
          <w:tcPr>
            <w:tcW w:w="2321" w:type="dxa"/>
          </w:tcPr>
          <w:p>
            <w:r>
              <w:t>线路损耗效率</w:t>
            </w:r>
          </w:p>
        </w:tc>
        <w:tc>
          <w:tcPr>
            <w:tcW w:w="2321" w:type="dxa"/>
          </w:tcPr>
          <w:p>
            <w:r>
              <w:t>1%</w:t>
            </w:r>
          </w:p>
        </w:tc>
      </w:tr>
      <w:tr>
        <w:tblPrEx>
          <w:tblCellMar>
            <w:top w:w="0" w:type="dxa"/>
            <w:left w:w="108" w:type="dxa"/>
            <w:bottom w:w="0" w:type="dxa"/>
            <w:right w:w="108" w:type="dxa"/>
          </w:tblCellMar>
        </w:tblPrEx>
        <w:tc>
          <w:tcPr>
            <w:tcW w:w="2320" w:type="dxa"/>
            <w:shd w:val="clear" w:color="auto" w:fill="ECECEC" w:themeFill="accent3" w:themeFillTint="33"/>
          </w:tcPr>
          <w:p>
            <w:pPr>
              <w:rPr>
                <w:b w:val="0"/>
                <w:bCs w:val="0"/>
              </w:rPr>
            </w:pPr>
            <w:r>
              <w:rPr>
                <w:b w:val="0"/>
                <w:bCs w:val="0"/>
              </w:rPr>
              <w:t>材料表面污染效率</w:t>
            </w:r>
          </w:p>
        </w:tc>
        <w:tc>
          <w:tcPr>
            <w:tcW w:w="2320" w:type="dxa"/>
            <w:shd w:val="clear" w:color="auto" w:fill="ECECEC" w:themeFill="accent3" w:themeFillTint="33"/>
          </w:tcPr>
          <w:p>
            <w:r>
              <w:t>1%</w:t>
            </w:r>
          </w:p>
        </w:tc>
        <w:tc>
          <w:tcPr>
            <w:tcW w:w="2321" w:type="dxa"/>
            <w:shd w:val="clear" w:color="auto" w:fill="ECECEC" w:themeFill="accent3" w:themeFillTint="33"/>
          </w:tcPr>
          <w:p>
            <w:r>
              <w:rPr>
                <w:rFonts w:hint="eastAsia"/>
              </w:rPr>
              <w:t>其他损失</w:t>
            </w:r>
          </w:p>
        </w:tc>
        <w:tc>
          <w:tcPr>
            <w:tcW w:w="2321" w:type="dxa"/>
            <w:shd w:val="clear" w:color="auto" w:fill="ECECEC" w:themeFill="accent3" w:themeFillTint="33"/>
          </w:tcPr>
          <w:p>
            <w:r>
              <w:t>2.48%</w:t>
            </w:r>
          </w:p>
        </w:tc>
      </w:tr>
      <w:tr>
        <w:tblPrEx>
          <w:tblCellMar>
            <w:top w:w="0" w:type="dxa"/>
            <w:left w:w="108" w:type="dxa"/>
            <w:bottom w:w="0" w:type="dxa"/>
            <w:right w:w="108" w:type="dxa"/>
          </w:tblCellMar>
        </w:tblPrEx>
        <w:trPr>
          <w:trHeight w:val="680" w:hRule="atLeast"/>
        </w:trPr>
        <w:tc>
          <w:tcPr>
            <w:tcW w:w="2320" w:type="dxa"/>
            <w:vAlign w:val="center"/>
          </w:tcPr>
          <w:p>
            <w:pPr>
              <w:jc w:val="both"/>
              <w:rPr>
                <w:b/>
                <w:bCs/>
              </w:rPr>
            </w:pPr>
            <w:r>
              <w:rPr>
                <w:b/>
                <w:bCs/>
                <w:sz w:val="24"/>
              </w:rPr>
              <w:t>系统综合效率</w:t>
            </w:r>
          </w:p>
        </w:tc>
        <w:tc>
          <w:tcPr>
            <w:tcW w:w="6962" w:type="dxa"/>
            <w:gridSpan w:val="3"/>
            <w:shd w:val="clear" w:color="auto" w:fill="E65100"/>
            <w:vAlign w:val="center"/>
          </w:tcPr>
          <w:p>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83.0%</w:t>
            </w:r>
          </w:p>
        </w:tc>
      </w:tr>
      <w:bookmarkEnd w:id="69"/>
    </w:tbl>
    <w:p>
      <w:pPr>
        <w:jc w:val="center"/>
      </w:pPr>
    </w:p>
    <w:p>
      <w:pPr>
        <w:pStyle w:val="4"/>
      </w:pPr>
      <w:bookmarkStart w:id="70" w:name="_Toc19486"/>
      <w:r>
        <w:rPr>
          <w:rFonts w:hint="eastAsia"/>
        </w:rPr>
        <w:t>发电量计算</w:t>
      </w:r>
      <w:bookmarkEnd w:id="70"/>
    </w:p>
    <w:p>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pPr>
        <w:pStyle w:val="5"/>
      </w:pPr>
      <w:bookmarkStart w:id="71" w:name="_Toc22320"/>
      <w:r>
        <w:rPr>
          <w:rFonts w:hint="eastAsia"/>
        </w:rPr>
        <w:t>首年发电量</w:t>
      </w:r>
      <w:bookmarkEnd w:id="71"/>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tc>
          <w:tcPr>
            <w:tcW w:w="1583"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1月</w:t>
            </w:r>
          </w:p>
        </w:tc>
        <w:tc>
          <w:tcPr>
            <w:tcW w:w="2831" w:type="dxa"/>
            <w:shd w:val="clear" w:color="auto" w:fill="ECECEC" w:themeFill="accent3" w:themeFillTint="33"/>
          </w:tcPr>
          <w:p>
            <w:pPr>
              <w:jc w:val="center"/>
              <w:rPr>
                <w:szCs w:val="21"/>
              </w:rPr>
            </w:pPr>
            <w:r>
              <w:rPr>
                <w:szCs w:val="21"/>
              </w:rPr>
              <w:t>59.8</w:t>
            </w:r>
          </w:p>
        </w:tc>
        <w:tc>
          <w:tcPr>
            <w:tcW w:w="2434" w:type="dxa"/>
            <w:shd w:val="clear" w:color="auto" w:fill="ECECEC" w:themeFill="accent3" w:themeFillTint="33"/>
          </w:tcPr>
          <w:p>
            <w:pPr>
              <w:jc w:val="center"/>
              <w:rPr>
                <w:szCs w:val="21"/>
              </w:rPr>
            </w:pPr>
            <w:r>
              <w:rPr>
                <w:szCs w:val="21"/>
              </w:rPr>
              <w:t>10.53</w:t>
            </w:r>
          </w:p>
        </w:tc>
        <w:tc>
          <w:tcPr>
            <w:tcW w:w="2224" w:type="dxa"/>
            <w:shd w:val="clear" w:color="auto" w:fill="ECECEC" w:themeFill="accent3" w:themeFillTint="33"/>
          </w:tcPr>
          <w:p>
            <w:pPr>
              <w:jc w:val="center"/>
              <w:rPr>
                <w:szCs w:val="21"/>
              </w:rPr>
            </w:pPr>
            <w:r>
              <w:rPr>
                <w:szCs w:val="21"/>
              </w:rPr>
              <w:t>5.7</w:t>
            </w:r>
          </w:p>
        </w:tc>
      </w:tr>
      <w:tr>
        <w:tblPrEx>
          <w:tblCellMar>
            <w:top w:w="0" w:type="dxa"/>
            <w:left w:w="108" w:type="dxa"/>
            <w:bottom w:w="0" w:type="dxa"/>
            <w:right w:w="108" w:type="dxa"/>
          </w:tblCellMar>
        </w:tblPrEx>
        <w:tc>
          <w:tcPr>
            <w:tcW w:w="1583" w:type="dxa"/>
          </w:tcPr>
          <w:p>
            <w:pPr>
              <w:jc w:val="center"/>
              <w:rPr>
                <w:b/>
                <w:bCs/>
                <w:szCs w:val="21"/>
              </w:rPr>
            </w:pPr>
            <w:r>
              <w:rPr>
                <w:b/>
                <w:bCs/>
                <w:szCs w:val="21"/>
              </w:rPr>
              <w:t>2月</w:t>
            </w:r>
          </w:p>
        </w:tc>
        <w:tc>
          <w:tcPr>
            <w:tcW w:w="2831" w:type="dxa"/>
          </w:tcPr>
          <w:p>
            <w:pPr>
              <w:jc w:val="center"/>
              <w:rPr>
                <w:szCs w:val="21"/>
              </w:rPr>
            </w:pPr>
            <w:r>
              <w:rPr>
                <w:szCs w:val="21"/>
              </w:rPr>
              <w:t>65.9</w:t>
            </w:r>
          </w:p>
        </w:tc>
        <w:tc>
          <w:tcPr>
            <w:tcW w:w="2434" w:type="dxa"/>
          </w:tcPr>
          <w:p>
            <w:pPr>
              <w:jc w:val="center"/>
              <w:rPr>
                <w:szCs w:val="21"/>
              </w:rPr>
            </w:pPr>
            <w:r>
              <w:rPr>
                <w:szCs w:val="21"/>
              </w:rPr>
              <w:t>11.49</w:t>
            </w:r>
          </w:p>
        </w:tc>
        <w:tc>
          <w:tcPr>
            <w:tcW w:w="2224" w:type="dxa"/>
          </w:tcPr>
          <w:p>
            <w:pPr>
              <w:jc w:val="center"/>
              <w:rPr>
                <w:szCs w:val="21"/>
              </w:rPr>
            </w:pPr>
            <w:r>
              <w:rPr>
                <w:szCs w:val="21"/>
              </w:rPr>
              <w:t>6.3</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3月</w:t>
            </w:r>
          </w:p>
        </w:tc>
        <w:tc>
          <w:tcPr>
            <w:tcW w:w="2831" w:type="dxa"/>
            <w:shd w:val="clear" w:color="auto" w:fill="ECECEC" w:themeFill="accent3" w:themeFillTint="33"/>
          </w:tcPr>
          <w:p>
            <w:pPr>
              <w:jc w:val="center"/>
              <w:rPr>
                <w:szCs w:val="21"/>
              </w:rPr>
            </w:pPr>
            <w:r>
              <w:rPr>
                <w:szCs w:val="21"/>
              </w:rPr>
              <w:t>84.9</w:t>
            </w:r>
          </w:p>
        </w:tc>
        <w:tc>
          <w:tcPr>
            <w:tcW w:w="2434" w:type="dxa"/>
            <w:shd w:val="clear" w:color="auto" w:fill="ECECEC" w:themeFill="accent3" w:themeFillTint="33"/>
          </w:tcPr>
          <w:p>
            <w:pPr>
              <w:jc w:val="center"/>
              <w:rPr>
                <w:szCs w:val="21"/>
              </w:rPr>
            </w:pPr>
            <w:r>
              <w:rPr>
                <w:szCs w:val="21"/>
              </w:rPr>
              <w:t>14.43</w:t>
            </w:r>
          </w:p>
        </w:tc>
        <w:tc>
          <w:tcPr>
            <w:tcW w:w="2224" w:type="dxa"/>
            <w:shd w:val="clear" w:color="auto" w:fill="ECECEC" w:themeFill="accent3" w:themeFillTint="33"/>
          </w:tcPr>
          <w:p>
            <w:pPr>
              <w:jc w:val="center"/>
              <w:rPr>
                <w:szCs w:val="21"/>
              </w:rPr>
            </w:pPr>
            <w:r>
              <w:rPr>
                <w:szCs w:val="21"/>
              </w:rPr>
              <w:t>7.9</w:t>
            </w:r>
          </w:p>
        </w:tc>
      </w:tr>
      <w:tr>
        <w:tblPrEx>
          <w:tblCellMar>
            <w:top w:w="0" w:type="dxa"/>
            <w:left w:w="108" w:type="dxa"/>
            <w:bottom w:w="0" w:type="dxa"/>
            <w:right w:w="108" w:type="dxa"/>
          </w:tblCellMar>
        </w:tblPrEx>
        <w:tc>
          <w:tcPr>
            <w:tcW w:w="1583" w:type="dxa"/>
          </w:tcPr>
          <w:p>
            <w:pPr>
              <w:jc w:val="center"/>
              <w:rPr>
                <w:b/>
                <w:bCs/>
                <w:szCs w:val="21"/>
              </w:rPr>
            </w:pPr>
            <w:r>
              <w:rPr>
                <w:b/>
                <w:bCs/>
                <w:szCs w:val="21"/>
              </w:rPr>
              <w:t>4月</w:t>
            </w:r>
          </w:p>
        </w:tc>
        <w:tc>
          <w:tcPr>
            <w:tcW w:w="2831" w:type="dxa"/>
          </w:tcPr>
          <w:p>
            <w:pPr>
              <w:jc w:val="center"/>
              <w:rPr>
                <w:szCs w:val="21"/>
              </w:rPr>
            </w:pPr>
            <w:r>
              <w:rPr>
                <w:szCs w:val="21"/>
              </w:rPr>
              <w:t>103.7</w:t>
            </w:r>
          </w:p>
        </w:tc>
        <w:tc>
          <w:tcPr>
            <w:tcW w:w="2434" w:type="dxa"/>
          </w:tcPr>
          <w:p>
            <w:pPr>
              <w:jc w:val="center"/>
              <w:rPr>
                <w:szCs w:val="21"/>
              </w:rPr>
            </w:pPr>
            <w:r>
              <w:rPr>
                <w:szCs w:val="21"/>
              </w:rPr>
              <w:t>17.26</w:t>
            </w:r>
          </w:p>
        </w:tc>
        <w:tc>
          <w:tcPr>
            <w:tcW w:w="2224" w:type="dxa"/>
          </w:tcPr>
          <w:p>
            <w:pPr>
              <w:jc w:val="center"/>
              <w:rPr>
                <w:szCs w:val="21"/>
              </w:rPr>
            </w:pPr>
            <w:r>
              <w:rPr>
                <w:szCs w:val="21"/>
              </w:rPr>
              <w:t>9.4</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5月</w:t>
            </w:r>
          </w:p>
        </w:tc>
        <w:tc>
          <w:tcPr>
            <w:tcW w:w="2831" w:type="dxa"/>
            <w:shd w:val="clear" w:color="auto" w:fill="ECECEC" w:themeFill="accent3" w:themeFillTint="33"/>
          </w:tcPr>
          <w:p>
            <w:pPr>
              <w:jc w:val="center"/>
              <w:rPr>
                <w:szCs w:val="21"/>
              </w:rPr>
            </w:pPr>
            <w:r>
              <w:rPr>
                <w:szCs w:val="21"/>
              </w:rPr>
              <w:t>121.6</w:t>
            </w:r>
          </w:p>
        </w:tc>
        <w:tc>
          <w:tcPr>
            <w:tcW w:w="2434" w:type="dxa"/>
            <w:shd w:val="clear" w:color="auto" w:fill="ECECEC" w:themeFill="accent3" w:themeFillTint="33"/>
          </w:tcPr>
          <w:p>
            <w:pPr>
              <w:jc w:val="center"/>
              <w:rPr>
                <w:szCs w:val="21"/>
              </w:rPr>
            </w:pPr>
            <w:r>
              <w:rPr>
                <w:szCs w:val="21"/>
              </w:rPr>
              <w:t>19.43</w:t>
            </w:r>
          </w:p>
        </w:tc>
        <w:tc>
          <w:tcPr>
            <w:tcW w:w="2224" w:type="dxa"/>
            <w:shd w:val="clear" w:color="auto" w:fill="ECECEC" w:themeFill="accent3" w:themeFillTint="33"/>
          </w:tcPr>
          <w:p>
            <w:pPr>
              <w:jc w:val="center"/>
              <w:rPr>
                <w:szCs w:val="21"/>
              </w:rPr>
            </w:pPr>
            <w:r>
              <w:rPr>
                <w:szCs w:val="21"/>
              </w:rPr>
              <w:t>10.6</w:t>
            </w:r>
          </w:p>
        </w:tc>
      </w:tr>
      <w:tr>
        <w:tblPrEx>
          <w:tblCellMar>
            <w:top w:w="0" w:type="dxa"/>
            <w:left w:w="108" w:type="dxa"/>
            <w:bottom w:w="0" w:type="dxa"/>
            <w:right w:w="108" w:type="dxa"/>
          </w:tblCellMar>
        </w:tblPrEx>
        <w:tc>
          <w:tcPr>
            <w:tcW w:w="1583" w:type="dxa"/>
          </w:tcPr>
          <w:p>
            <w:pPr>
              <w:jc w:val="center"/>
              <w:rPr>
                <w:b/>
                <w:bCs/>
                <w:szCs w:val="21"/>
              </w:rPr>
            </w:pPr>
            <w:r>
              <w:rPr>
                <w:b/>
                <w:bCs/>
                <w:szCs w:val="21"/>
              </w:rPr>
              <w:t>6月</w:t>
            </w:r>
          </w:p>
        </w:tc>
        <w:tc>
          <w:tcPr>
            <w:tcW w:w="2831" w:type="dxa"/>
          </w:tcPr>
          <w:p>
            <w:pPr>
              <w:jc w:val="center"/>
              <w:rPr>
                <w:szCs w:val="21"/>
              </w:rPr>
            </w:pPr>
            <w:r>
              <w:rPr>
                <w:szCs w:val="21"/>
              </w:rPr>
              <w:t>100.0</w:t>
            </w:r>
          </w:p>
        </w:tc>
        <w:tc>
          <w:tcPr>
            <w:tcW w:w="2434" w:type="dxa"/>
          </w:tcPr>
          <w:p>
            <w:pPr>
              <w:jc w:val="center"/>
              <w:rPr>
                <w:szCs w:val="21"/>
              </w:rPr>
            </w:pPr>
            <w:r>
              <w:rPr>
                <w:szCs w:val="21"/>
              </w:rPr>
              <w:t>16.18</w:t>
            </w:r>
          </w:p>
        </w:tc>
        <w:tc>
          <w:tcPr>
            <w:tcW w:w="2224" w:type="dxa"/>
          </w:tcPr>
          <w:p>
            <w:pPr>
              <w:jc w:val="center"/>
              <w:rPr>
                <w:szCs w:val="21"/>
              </w:rPr>
            </w:pPr>
            <w:r>
              <w:rPr>
                <w:szCs w:val="21"/>
              </w:rPr>
              <w:t>8.8</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7月</w:t>
            </w:r>
          </w:p>
        </w:tc>
        <w:tc>
          <w:tcPr>
            <w:tcW w:w="2831" w:type="dxa"/>
            <w:shd w:val="clear" w:color="auto" w:fill="ECECEC" w:themeFill="accent3" w:themeFillTint="33"/>
          </w:tcPr>
          <w:p>
            <w:pPr>
              <w:jc w:val="center"/>
              <w:rPr>
                <w:szCs w:val="21"/>
              </w:rPr>
            </w:pPr>
            <w:r>
              <w:rPr>
                <w:szCs w:val="21"/>
              </w:rPr>
              <w:t>110.1</w:t>
            </w:r>
          </w:p>
        </w:tc>
        <w:tc>
          <w:tcPr>
            <w:tcW w:w="2434" w:type="dxa"/>
            <w:shd w:val="clear" w:color="auto" w:fill="ECECEC" w:themeFill="accent3" w:themeFillTint="33"/>
          </w:tcPr>
          <w:p>
            <w:pPr>
              <w:jc w:val="center"/>
              <w:rPr>
                <w:szCs w:val="21"/>
              </w:rPr>
            </w:pPr>
            <w:r>
              <w:rPr>
                <w:szCs w:val="21"/>
              </w:rPr>
              <w:t>17.58</w:t>
            </w:r>
          </w:p>
        </w:tc>
        <w:tc>
          <w:tcPr>
            <w:tcW w:w="2224" w:type="dxa"/>
            <w:shd w:val="clear" w:color="auto" w:fill="ECECEC" w:themeFill="accent3" w:themeFillTint="33"/>
          </w:tcPr>
          <w:p>
            <w:pPr>
              <w:jc w:val="center"/>
              <w:rPr>
                <w:szCs w:val="21"/>
              </w:rPr>
            </w:pPr>
            <w:r>
              <w:rPr>
                <w:szCs w:val="21"/>
              </w:rPr>
              <w:t>9.6</w:t>
            </w:r>
          </w:p>
        </w:tc>
      </w:tr>
      <w:tr>
        <w:tblPrEx>
          <w:tblCellMar>
            <w:top w:w="0" w:type="dxa"/>
            <w:left w:w="108" w:type="dxa"/>
            <w:bottom w:w="0" w:type="dxa"/>
            <w:right w:w="108" w:type="dxa"/>
          </w:tblCellMar>
        </w:tblPrEx>
        <w:tc>
          <w:tcPr>
            <w:tcW w:w="1583" w:type="dxa"/>
          </w:tcPr>
          <w:p>
            <w:pPr>
              <w:jc w:val="center"/>
              <w:rPr>
                <w:b/>
                <w:bCs/>
                <w:szCs w:val="21"/>
              </w:rPr>
            </w:pPr>
            <w:r>
              <w:rPr>
                <w:b/>
                <w:bCs/>
                <w:szCs w:val="21"/>
              </w:rPr>
              <w:t>8月</w:t>
            </w:r>
          </w:p>
        </w:tc>
        <w:tc>
          <w:tcPr>
            <w:tcW w:w="2831" w:type="dxa"/>
          </w:tcPr>
          <w:p>
            <w:pPr>
              <w:jc w:val="center"/>
              <w:rPr>
                <w:szCs w:val="21"/>
              </w:rPr>
            </w:pPr>
            <w:r>
              <w:rPr>
                <w:szCs w:val="21"/>
              </w:rPr>
              <w:t>128.5</w:t>
            </w:r>
          </w:p>
        </w:tc>
        <w:tc>
          <w:tcPr>
            <w:tcW w:w="2434" w:type="dxa"/>
          </w:tcPr>
          <w:p>
            <w:pPr>
              <w:jc w:val="center"/>
              <w:rPr>
                <w:szCs w:val="21"/>
              </w:rPr>
            </w:pPr>
            <w:r>
              <w:rPr>
                <w:szCs w:val="21"/>
              </w:rPr>
              <w:t>20.07</w:t>
            </w:r>
          </w:p>
        </w:tc>
        <w:tc>
          <w:tcPr>
            <w:tcW w:w="2224" w:type="dxa"/>
          </w:tcPr>
          <w:p>
            <w:pPr>
              <w:jc w:val="center"/>
              <w:rPr>
                <w:szCs w:val="21"/>
              </w:rPr>
            </w:pPr>
            <w:r>
              <w:rPr>
                <w:szCs w:val="21"/>
              </w:rPr>
              <w:t>11.0</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9月</w:t>
            </w:r>
          </w:p>
        </w:tc>
        <w:tc>
          <w:tcPr>
            <w:tcW w:w="2831" w:type="dxa"/>
            <w:shd w:val="clear" w:color="auto" w:fill="ECECEC" w:themeFill="accent3" w:themeFillTint="33"/>
          </w:tcPr>
          <w:p>
            <w:pPr>
              <w:jc w:val="center"/>
              <w:rPr>
                <w:szCs w:val="21"/>
              </w:rPr>
            </w:pPr>
            <w:r>
              <w:rPr>
                <w:szCs w:val="21"/>
              </w:rPr>
              <w:t>96.8</w:t>
            </w:r>
          </w:p>
        </w:tc>
        <w:tc>
          <w:tcPr>
            <w:tcW w:w="2434" w:type="dxa"/>
            <w:shd w:val="clear" w:color="auto" w:fill="ECECEC" w:themeFill="accent3" w:themeFillTint="33"/>
          </w:tcPr>
          <w:p>
            <w:pPr>
              <w:jc w:val="center"/>
              <w:rPr>
                <w:szCs w:val="21"/>
              </w:rPr>
            </w:pPr>
            <w:r>
              <w:rPr>
                <w:szCs w:val="21"/>
              </w:rPr>
              <w:t>15.87</w:t>
            </w:r>
          </w:p>
        </w:tc>
        <w:tc>
          <w:tcPr>
            <w:tcW w:w="2224" w:type="dxa"/>
            <w:shd w:val="clear" w:color="auto" w:fill="ECECEC" w:themeFill="accent3" w:themeFillTint="33"/>
          </w:tcPr>
          <w:p>
            <w:pPr>
              <w:jc w:val="center"/>
              <w:rPr>
                <w:szCs w:val="21"/>
              </w:rPr>
            </w:pPr>
            <w:r>
              <w:rPr>
                <w:szCs w:val="21"/>
              </w:rPr>
              <w:t>8.7</w:t>
            </w:r>
          </w:p>
        </w:tc>
      </w:tr>
      <w:tr>
        <w:tblPrEx>
          <w:tblCellMar>
            <w:top w:w="0" w:type="dxa"/>
            <w:left w:w="108" w:type="dxa"/>
            <w:bottom w:w="0" w:type="dxa"/>
            <w:right w:w="108" w:type="dxa"/>
          </w:tblCellMar>
        </w:tblPrEx>
        <w:tc>
          <w:tcPr>
            <w:tcW w:w="1583" w:type="dxa"/>
          </w:tcPr>
          <w:p>
            <w:pPr>
              <w:jc w:val="center"/>
              <w:rPr>
                <w:b/>
                <w:bCs/>
                <w:szCs w:val="21"/>
              </w:rPr>
            </w:pPr>
            <w:r>
              <w:rPr>
                <w:b/>
                <w:bCs/>
                <w:szCs w:val="21"/>
              </w:rPr>
              <w:t>10月</w:t>
            </w:r>
          </w:p>
        </w:tc>
        <w:tc>
          <w:tcPr>
            <w:tcW w:w="2831" w:type="dxa"/>
          </w:tcPr>
          <w:p>
            <w:pPr>
              <w:jc w:val="center"/>
              <w:rPr>
                <w:szCs w:val="21"/>
              </w:rPr>
            </w:pPr>
            <w:r>
              <w:rPr>
                <w:szCs w:val="21"/>
              </w:rPr>
              <w:t>98.1</w:t>
            </w:r>
          </w:p>
        </w:tc>
        <w:tc>
          <w:tcPr>
            <w:tcW w:w="2434" w:type="dxa"/>
          </w:tcPr>
          <w:p>
            <w:pPr>
              <w:jc w:val="center"/>
              <w:rPr>
                <w:szCs w:val="21"/>
              </w:rPr>
            </w:pPr>
            <w:r>
              <w:rPr>
                <w:szCs w:val="21"/>
              </w:rPr>
              <w:t>16.09</w:t>
            </w:r>
          </w:p>
        </w:tc>
        <w:tc>
          <w:tcPr>
            <w:tcW w:w="2224" w:type="dxa"/>
          </w:tcPr>
          <w:p>
            <w:pPr>
              <w:jc w:val="center"/>
              <w:rPr>
                <w:szCs w:val="21"/>
              </w:rPr>
            </w:pPr>
            <w:r>
              <w:rPr>
                <w:szCs w:val="21"/>
              </w:rPr>
              <w:t>8.8</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11月</w:t>
            </w:r>
          </w:p>
        </w:tc>
        <w:tc>
          <w:tcPr>
            <w:tcW w:w="2831" w:type="dxa"/>
            <w:shd w:val="clear" w:color="auto" w:fill="ECECEC" w:themeFill="accent3" w:themeFillTint="33"/>
          </w:tcPr>
          <w:p>
            <w:pPr>
              <w:jc w:val="center"/>
              <w:rPr>
                <w:szCs w:val="21"/>
              </w:rPr>
            </w:pPr>
            <w:r>
              <w:rPr>
                <w:szCs w:val="21"/>
              </w:rPr>
              <w:t>75.2</w:t>
            </w:r>
          </w:p>
        </w:tc>
        <w:tc>
          <w:tcPr>
            <w:tcW w:w="2434" w:type="dxa"/>
            <w:shd w:val="clear" w:color="auto" w:fill="ECECEC" w:themeFill="accent3" w:themeFillTint="33"/>
          </w:tcPr>
          <w:p>
            <w:pPr>
              <w:jc w:val="center"/>
              <w:rPr>
                <w:szCs w:val="21"/>
              </w:rPr>
            </w:pPr>
            <w:r>
              <w:rPr>
                <w:szCs w:val="21"/>
              </w:rPr>
              <w:t>12.77</w:t>
            </w:r>
          </w:p>
        </w:tc>
        <w:tc>
          <w:tcPr>
            <w:tcW w:w="2224" w:type="dxa"/>
            <w:shd w:val="clear" w:color="auto" w:fill="ECECEC" w:themeFill="accent3" w:themeFillTint="33"/>
          </w:tcPr>
          <w:p>
            <w:pPr>
              <w:jc w:val="center"/>
              <w:rPr>
                <w:szCs w:val="21"/>
              </w:rPr>
            </w:pPr>
            <w:r>
              <w:rPr>
                <w:szCs w:val="21"/>
              </w:rPr>
              <w:t>7.0</w:t>
            </w:r>
          </w:p>
        </w:tc>
      </w:tr>
      <w:tr>
        <w:tblPrEx>
          <w:tblCellMar>
            <w:top w:w="0" w:type="dxa"/>
            <w:left w:w="108" w:type="dxa"/>
            <w:bottom w:w="0" w:type="dxa"/>
            <w:right w:w="108" w:type="dxa"/>
          </w:tblCellMar>
        </w:tblPrEx>
        <w:tc>
          <w:tcPr>
            <w:tcW w:w="1583" w:type="dxa"/>
          </w:tcPr>
          <w:p>
            <w:pPr>
              <w:jc w:val="center"/>
              <w:rPr>
                <w:b/>
                <w:bCs/>
                <w:szCs w:val="21"/>
              </w:rPr>
            </w:pPr>
            <w:r>
              <w:rPr>
                <w:b/>
                <w:bCs/>
                <w:szCs w:val="21"/>
              </w:rPr>
              <w:t>12月</w:t>
            </w:r>
          </w:p>
        </w:tc>
        <w:tc>
          <w:tcPr>
            <w:tcW w:w="2831" w:type="dxa"/>
          </w:tcPr>
          <w:p>
            <w:pPr>
              <w:jc w:val="center"/>
              <w:rPr>
                <w:szCs w:val="21"/>
              </w:rPr>
            </w:pPr>
            <w:r>
              <w:rPr>
                <w:szCs w:val="21"/>
              </w:rPr>
              <w:t>66.0</w:t>
            </w:r>
          </w:p>
        </w:tc>
        <w:tc>
          <w:tcPr>
            <w:tcW w:w="2434" w:type="dxa"/>
          </w:tcPr>
          <w:p>
            <w:pPr>
              <w:jc w:val="center"/>
              <w:rPr>
                <w:szCs w:val="21"/>
              </w:rPr>
            </w:pPr>
            <w:r>
              <w:rPr>
                <w:szCs w:val="21"/>
              </w:rPr>
              <w:t>11.52</w:t>
            </w:r>
          </w:p>
        </w:tc>
        <w:tc>
          <w:tcPr>
            <w:tcW w:w="2224" w:type="dxa"/>
          </w:tcPr>
          <w:p>
            <w:pPr>
              <w:jc w:val="center"/>
              <w:rPr>
                <w:szCs w:val="21"/>
              </w:rPr>
            </w:pPr>
            <w:r>
              <w:rPr>
                <w:szCs w:val="21"/>
              </w:rPr>
              <w:t>6.3</w:t>
            </w:r>
          </w:p>
        </w:tc>
      </w:tr>
      <w:tr>
        <w:tblPrEx>
          <w:tblCellMar>
            <w:top w:w="0" w:type="dxa"/>
            <w:left w:w="108" w:type="dxa"/>
            <w:bottom w:w="0" w:type="dxa"/>
            <w:right w:w="108" w:type="dxa"/>
          </w:tblCellMar>
        </w:tblPrEx>
        <w:tc>
          <w:tcPr>
            <w:tcW w:w="1583" w:type="dxa"/>
            <w:shd w:val="clear" w:color="auto" w:fill="ECECEC" w:themeFill="accent3" w:themeFillTint="33"/>
          </w:tcPr>
          <w:p>
            <w:pPr>
              <w:jc w:val="center"/>
              <w:rPr>
                <w:b/>
                <w:bCs/>
                <w:szCs w:val="21"/>
              </w:rPr>
            </w:pPr>
            <w:r>
              <w:rPr>
                <w:b/>
                <w:bCs/>
                <w:szCs w:val="21"/>
              </w:rPr>
              <w:t>全年</w:t>
            </w:r>
          </w:p>
        </w:tc>
        <w:tc>
          <w:tcPr>
            <w:tcW w:w="2831" w:type="dxa"/>
            <w:shd w:val="clear" w:color="auto" w:fill="ECECEC" w:themeFill="accent3" w:themeFillTint="33"/>
          </w:tcPr>
          <w:p>
            <w:pPr>
              <w:jc w:val="center"/>
              <w:rPr>
                <w:szCs w:val="21"/>
              </w:rPr>
            </w:pPr>
            <w:r>
              <w:rPr>
                <w:szCs w:val="21"/>
              </w:rPr>
              <w:t>1110.6</w:t>
            </w:r>
          </w:p>
        </w:tc>
        <w:tc>
          <w:tcPr>
            <w:tcW w:w="2434" w:type="dxa"/>
            <w:shd w:val="clear" w:color="auto" w:fill="ECECEC" w:themeFill="accent3" w:themeFillTint="33"/>
          </w:tcPr>
          <w:p>
            <w:pPr>
              <w:jc w:val="center"/>
              <w:rPr>
                <w:szCs w:val="21"/>
              </w:rPr>
            </w:pPr>
            <w:r>
              <w:rPr>
                <w:szCs w:val="21"/>
              </w:rPr>
              <w:t>183.21</w:t>
            </w:r>
          </w:p>
        </w:tc>
        <w:tc>
          <w:tcPr>
            <w:tcW w:w="2224" w:type="dxa"/>
            <w:shd w:val="clear" w:color="auto" w:fill="ECECEC" w:themeFill="accent3" w:themeFillTint="33"/>
          </w:tcPr>
          <w:p>
            <w:pPr>
              <w:jc w:val="center"/>
              <w:rPr>
                <w:szCs w:val="21"/>
              </w:rPr>
            </w:pPr>
            <w:r>
              <w:rPr>
                <w:szCs w:val="21"/>
              </w:rPr>
              <w:t>100</w:t>
            </w:r>
          </w:p>
        </w:tc>
      </w:tr>
      <w:tr>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183.21MWh</w:t>
            </w:r>
          </w:p>
        </w:tc>
      </w:tr>
      <w:bookmarkEnd w:id="72"/>
    </w:tbl>
    <w:p>
      <w:pPr>
        <w:pStyle w:val="3"/>
        <w:jc w:val="center"/>
      </w:pPr>
    </w:p>
    <w:p>
      <w:pPr>
        <w:pStyle w:val="3"/>
        <w:jc w:val="center"/>
      </w:pPr>
      <w:bookmarkStart w:id="73" w:name="光伏发电彩图"/>
      <w:bookmarkEnd w:id="73"/>
      <w:r>
        <w:t>选择光伏计算结果输出[彩图输出]选项，软件会生成对应光伏发电彩图！</w:t>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pPr>
        <w:spacing w:before="240"/>
        <w:jc w:val="center"/>
      </w:pPr>
      <w:bookmarkStart w:id="74" w:name="光伏板接收太阳能总辐照量图"/>
      <w:bookmarkEnd w:id="74"/>
      <w:bookmarkStart w:id="75" w:name="太阳能总辐照量图"/>
      <w:bookmarkEnd w:id="75"/>
      <w:r>
        <w:drawing>
          <wp:inline distT="0" distB="0" distL="0" distR="0">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353377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pPr>
        <w:spacing w:before="240"/>
        <w:jc w:val="center"/>
      </w:pPr>
      <w:bookmarkStart w:id="76" w:name="首年发电量图"/>
      <w:bookmarkEnd w:id="76"/>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pPr>
        <w:pStyle w:val="5"/>
      </w:pPr>
      <w:bookmarkStart w:id="77" w:name="_Toc3705"/>
      <w:bookmarkStart w:id="78" w:name="_Toc127542304"/>
      <w:r>
        <w:rPr>
          <w:rFonts w:hint="eastAsia"/>
        </w:rPr>
        <w:t>全周期发电量</w:t>
      </w:r>
      <w:bookmarkEnd w:id="77"/>
      <w:bookmarkEnd w:id="78"/>
    </w:p>
    <w:p>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pPr>
              <w:spacing w:line="360" w:lineRule="exact"/>
              <w:jc w:val="center"/>
              <w:rPr>
                <w:b/>
                <w:bCs/>
                <w:color w:val="FFFFFF"/>
                <w:szCs w:val="21"/>
              </w:rPr>
            </w:pP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第1年</w:t>
            </w:r>
          </w:p>
        </w:tc>
        <w:tc>
          <w:tcPr>
            <w:tcW w:w="2268" w:type="dxa"/>
          </w:tcPr>
          <w:p>
            <w:pPr>
              <w:spacing w:line="360" w:lineRule="exact"/>
              <w:jc w:val="center"/>
              <w:rPr>
                <w:lang w:val="en-US"/>
              </w:rPr>
            </w:pPr>
            <w:r>
              <w:rPr>
                <w:lang w:val="en-US"/>
              </w:rPr>
              <w:t>3.00%</w:t>
            </w:r>
          </w:p>
        </w:tc>
        <w:tc>
          <w:tcPr>
            <w:tcW w:w="2268" w:type="dxa"/>
          </w:tcPr>
          <w:p>
            <w:pPr>
              <w:spacing w:line="360" w:lineRule="exact"/>
              <w:jc w:val="center"/>
              <w:rPr>
                <w:lang w:val="en-US"/>
              </w:rPr>
            </w:pPr>
            <w:r>
              <w:rPr>
                <w:lang w:val="en-US"/>
              </w:rPr>
              <w:t>183.21</w:t>
            </w:r>
          </w:p>
        </w:tc>
        <w:tc>
          <w:tcPr>
            <w:tcW w:w="2268" w:type="dxa"/>
          </w:tcPr>
          <w:p>
            <w:pPr>
              <w:spacing w:line="360" w:lineRule="exact"/>
              <w:jc w:val="center"/>
              <w:rPr>
                <w:lang w:val="en-US"/>
              </w:rPr>
            </w:pPr>
            <w:r>
              <w:rPr>
                <w:lang w:val="en-US"/>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181.93</w:t>
            </w:r>
          </w:p>
        </w:tc>
        <w:tc>
          <w:tcPr>
            <w:tcW w:w="2268" w:type="dxa"/>
            <w:shd w:val="clear" w:color="auto" w:fill="F2F2F2"/>
          </w:tcPr>
          <w:p>
            <w:pPr>
              <w:spacing w:line="360" w:lineRule="exact"/>
              <w:jc w:val="center"/>
              <w:rPr>
                <w:lang w:val="en-US"/>
              </w:rPr>
            </w:pPr>
            <w:r>
              <w:rPr>
                <w:lang w:val="en-US"/>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第3年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180.66</w:t>
            </w:r>
          </w:p>
        </w:tc>
        <w:tc>
          <w:tcPr>
            <w:tcW w:w="2268" w:type="dxa"/>
          </w:tcPr>
          <w:p>
            <w:pPr>
              <w:spacing w:line="360" w:lineRule="exact"/>
              <w:jc w:val="center"/>
              <w:rPr>
                <w:lang w:val="en-US"/>
              </w:rPr>
            </w:pPr>
            <w:r>
              <w:rPr>
                <w:lang w:val="en-US"/>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第4年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179.39</w:t>
            </w:r>
          </w:p>
        </w:tc>
        <w:tc>
          <w:tcPr>
            <w:tcW w:w="2268" w:type="dxa"/>
            <w:shd w:val="clear" w:color="auto" w:fill="F2F2F2"/>
          </w:tcPr>
          <w:p>
            <w:pPr>
              <w:spacing w:line="360" w:lineRule="exact"/>
              <w:jc w:val="center"/>
              <w:rPr>
                <w:lang w:val="en-US"/>
              </w:rPr>
            </w:pPr>
            <w:r>
              <w:rPr>
                <w:lang w:val="en-US"/>
              </w:rPr>
              <w:t>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第5年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178.13</w:t>
            </w:r>
          </w:p>
        </w:tc>
        <w:tc>
          <w:tcPr>
            <w:tcW w:w="2268" w:type="dxa"/>
          </w:tcPr>
          <w:p>
            <w:pPr>
              <w:spacing w:line="360" w:lineRule="exact"/>
              <w:jc w:val="center"/>
              <w:rPr>
                <w:lang w:val="en-US"/>
              </w:rPr>
            </w:pPr>
            <w:r>
              <w:rPr>
                <w:lang w:val="en-US"/>
              </w:rPr>
              <w:t>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第6年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176.89</w:t>
            </w:r>
          </w:p>
        </w:tc>
        <w:tc>
          <w:tcPr>
            <w:tcW w:w="2268" w:type="dxa"/>
            <w:shd w:val="clear" w:color="auto" w:fill="F2F2F2"/>
          </w:tcPr>
          <w:p>
            <w:pPr>
              <w:spacing w:line="360" w:lineRule="exact"/>
              <w:jc w:val="center"/>
              <w:rPr>
                <w:lang w:val="en-US"/>
              </w:rPr>
            </w:pPr>
            <w:r>
              <w:rPr>
                <w:lang w:val="en-US"/>
              </w:rPr>
              <w:t>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第7年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175.65</w:t>
            </w:r>
          </w:p>
        </w:tc>
        <w:tc>
          <w:tcPr>
            <w:tcW w:w="2268" w:type="dxa"/>
          </w:tcPr>
          <w:p>
            <w:pPr>
              <w:spacing w:line="360" w:lineRule="exact"/>
              <w:jc w:val="center"/>
              <w:rPr>
                <w:lang w:val="en-US"/>
              </w:rPr>
            </w:pPr>
            <w:r>
              <w:rPr>
                <w:lang w:val="en-US"/>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第8年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174.42</w:t>
            </w:r>
          </w:p>
        </w:tc>
        <w:tc>
          <w:tcPr>
            <w:tcW w:w="2268" w:type="dxa"/>
            <w:shd w:val="clear" w:color="auto" w:fill="F2F2F2"/>
          </w:tcPr>
          <w:p>
            <w:pPr>
              <w:spacing w:line="360" w:lineRule="exact"/>
              <w:jc w:val="center"/>
              <w:rPr>
                <w:lang w:val="en-US"/>
              </w:rPr>
            </w:pPr>
            <w:r>
              <w:rPr>
                <w:lang w:val="en-US"/>
              </w:rPr>
              <w:t>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第9年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173.20</w:t>
            </w:r>
          </w:p>
        </w:tc>
        <w:tc>
          <w:tcPr>
            <w:tcW w:w="2268" w:type="dxa"/>
          </w:tcPr>
          <w:p>
            <w:pPr>
              <w:spacing w:line="360" w:lineRule="exact"/>
              <w:jc w:val="center"/>
              <w:rPr>
                <w:lang w:val="en-US"/>
              </w:rPr>
            </w:pPr>
            <w:r>
              <w:rPr>
                <w:lang w:val="en-US"/>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第10年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171.99</w:t>
            </w:r>
          </w:p>
        </w:tc>
        <w:tc>
          <w:tcPr>
            <w:tcW w:w="2268" w:type="dxa"/>
            <w:shd w:val="clear" w:color="auto" w:fill="F2F2F2"/>
          </w:tcPr>
          <w:p>
            <w:pPr>
              <w:spacing w:line="360" w:lineRule="exact"/>
              <w:jc w:val="center"/>
              <w:rPr>
                <w:lang w:val="en-US"/>
              </w:rPr>
            </w:pPr>
            <w:r>
              <w:rPr>
                <w:lang w:val="en-US"/>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第11年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170.78</w:t>
            </w:r>
          </w:p>
        </w:tc>
        <w:tc>
          <w:tcPr>
            <w:tcW w:w="2268" w:type="dxa"/>
          </w:tcPr>
          <w:p>
            <w:pPr>
              <w:spacing w:line="360" w:lineRule="exact"/>
              <w:jc w:val="center"/>
              <w:rPr>
                <w:lang w:val="en-US"/>
              </w:rPr>
            </w:pPr>
            <w:r>
              <w:rPr>
                <w:lang w:val="en-US"/>
              </w:rPr>
              <w:t>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第12年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169.59</w:t>
            </w:r>
          </w:p>
        </w:tc>
        <w:tc>
          <w:tcPr>
            <w:tcW w:w="2268" w:type="dxa"/>
            <w:shd w:val="clear" w:color="auto" w:fill="F2F2F2"/>
          </w:tcPr>
          <w:p>
            <w:pPr>
              <w:spacing w:line="360" w:lineRule="exact"/>
              <w:jc w:val="center"/>
              <w:rPr>
                <w:lang w:val="en-US"/>
              </w:rPr>
            </w:pPr>
            <w:r>
              <w:rPr>
                <w:lang w:val="en-US"/>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第13年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168.40</w:t>
            </w:r>
          </w:p>
        </w:tc>
        <w:tc>
          <w:tcPr>
            <w:tcW w:w="2268" w:type="dxa"/>
          </w:tcPr>
          <w:p>
            <w:pPr>
              <w:spacing w:line="360" w:lineRule="exact"/>
              <w:jc w:val="center"/>
              <w:rPr>
                <w:lang w:val="en-US"/>
              </w:rPr>
            </w:pPr>
            <w:r>
              <w:rPr>
                <w:lang w:val="en-US"/>
              </w:rPr>
              <w:t>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第14年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167.22</w:t>
            </w:r>
          </w:p>
        </w:tc>
        <w:tc>
          <w:tcPr>
            <w:tcW w:w="2268" w:type="dxa"/>
            <w:shd w:val="clear" w:color="auto" w:fill="F2F2F2"/>
          </w:tcPr>
          <w:p>
            <w:pPr>
              <w:spacing w:line="360" w:lineRule="exact"/>
              <w:jc w:val="center"/>
              <w:rPr>
                <w:lang w:val="en-US"/>
              </w:rPr>
            </w:pPr>
            <w:r>
              <w:rPr>
                <w:lang w:val="en-US"/>
              </w:rPr>
              <w:t>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第15年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166.05</w:t>
            </w:r>
          </w:p>
        </w:tc>
        <w:tc>
          <w:tcPr>
            <w:tcW w:w="2268" w:type="dxa"/>
          </w:tcPr>
          <w:p>
            <w:pPr>
              <w:spacing w:line="360" w:lineRule="exact"/>
              <w:jc w:val="center"/>
              <w:rPr>
                <w:lang w:val="en-US"/>
              </w:rPr>
            </w:pPr>
            <w:r>
              <w:rPr>
                <w:lang w:val="en-US"/>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第16年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164.89</w:t>
            </w:r>
          </w:p>
        </w:tc>
        <w:tc>
          <w:tcPr>
            <w:tcW w:w="2268" w:type="dxa"/>
            <w:shd w:val="clear" w:color="auto" w:fill="F2F2F2"/>
          </w:tcPr>
          <w:p>
            <w:pPr>
              <w:spacing w:line="360" w:lineRule="exact"/>
              <w:jc w:val="center"/>
              <w:rPr>
                <w:lang w:val="en-US"/>
              </w:rPr>
            </w:pPr>
            <w:r>
              <w:rPr>
                <w:lang w:val="en-US"/>
              </w:rPr>
              <w:t>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第17年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163.73</w:t>
            </w:r>
          </w:p>
        </w:tc>
        <w:tc>
          <w:tcPr>
            <w:tcW w:w="2268" w:type="dxa"/>
          </w:tcPr>
          <w:p>
            <w:pPr>
              <w:spacing w:line="360" w:lineRule="exact"/>
              <w:jc w:val="center"/>
              <w:rPr>
                <w:lang w:val="en-US"/>
              </w:rPr>
            </w:pPr>
            <w:r>
              <w:rPr>
                <w:lang w:val="en-US"/>
              </w:rPr>
              <w:t>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第18年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162.59</w:t>
            </w:r>
          </w:p>
        </w:tc>
        <w:tc>
          <w:tcPr>
            <w:tcW w:w="2268" w:type="dxa"/>
            <w:shd w:val="clear" w:color="auto" w:fill="F2F2F2"/>
          </w:tcPr>
          <w:p>
            <w:pPr>
              <w:spacing w:line="360" w:lineRule="exact"/>
              <w:jc w:val="center"/>
              <w:rPr>
                <w:lang w:val="en-US"/>
              </w:rPr>
            </w:pPr>
            <w:r>
              <w:rPr>
                <w:lang w:val="en-US"/>
              </w:rPr>
              <w:t>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第19年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161.45</w:t>
            </w:r>
          </w:p>
        </w:tc>
        <w:tc>
          <w:tcPr>
            <w:tcW w:w="2268" w:type="dxa"/>
          </w:tcPr>
          <w:p>
            <w:pPr>
              <w:spacing w:line="360" w:lineRule="exact"/>
              <w:jc w:val="center"/>
              <w:rPr>
                <w:lang w:val="en-US"/>
              </w:rPr>
            </w:pPr>
            <w:r>
              <w:rPr>
                <w:lang w:val="en-US"/>
              </w:rPr>
              <w:t>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第20年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160.32</w:t>
            </w:r>
          </w:p>
        </w:tc>
        <w:tc>
          <w:tcPr>
            <w:tcW w:w="2268" w:type="dxa"/>
            <w:shd w:val="clear" w:color="auto" w:fill="F2F2F2"/>
          </w:tcPr>
          <w:p>
            <w:pPr>
              <w:spacing w:line="360" w:lineRule="exact"/>
              <w:jc w:val="center"/>
              <w:rPr>
                <w:lang w:val="en-US"/>
              </w:rPr>
            </w:pPr>
            <w:r>
              <w:rPr>
                <w:lang w:val="en-US"/>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第21年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159.20</w:t>
            </w:r>
          </w:p>
        </w:tc>
        <w:tc>
          <w:tcPr>
            <w:tcW w:w="2268" w:type="dxa"/>
          </w:tcPr>
          <w:p>
            <w:pPr>
              <w:spacing w:line="360" w:lineRule="exact"/>
              <w:jc w:val="center"/>
              <w:rPr>
                <w:lang w:val="en-US"/>
              </w:rPr>
            </w:pPr>
            <w:r>
              <w:rPr>
                <w:lang w:val="en-US"/>
              </w:rPr>
              <w:t>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第22年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158.08</w:t>
            </w:r>
          </w:p>
        </w:tc>
        <w:tc>
          <w:tcPr>
            <w:tcW w:w="2268" w:type="dxa"/>
            <w:shd w:val="clear" w:color="auto" w:fill="F2F2F2"/>
          </w:tcPr>
          <w:p>
            <w:pPr>
              <w:spacing w:line="360" w:lineRule="exact"/>
              <w:jc w:val="center"/>
              <w:rPr>
                <w:lang w:val="en-US"/>
              </w:rPr>
            </w:pPr>
            <w:r>
              <w:rPr>
                <w:lang w:val="en-US"/>
              </w:rPr>
              <w:t>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第23年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156.98</w:t>
            </w:r>
          </w:p>
        </w:tc>
        <w:tc>
          <w:tcPr>
            <w:tcW w:w="2268" w:type="dxa"/>
          </w:tcPr>
          <w:p>
            <w:pPr>
              <w:spacing w:line="360" w:lineRule="exact"/>
              <w:jc w:val="center"/>
              <w:rPr>
                <w:lang w:val="en-US"/>
              </w:rPr>
            </w:pPr>
            <w:r>
              <w:rPr>
                <w:lang w:val="en-US"/>
              </w:rPr>
              <w:t>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pPr>
              <w:spacing w:line="360" w:lineRule="exact"/>
              <w:jc w:val="center"/>
              <w:rPr>
                <w:b/>
                <w:bCs/>
                <w:lang w:val="en-US"/>
              </w:rPr>
            </w:pPr>
            <w:r>
              <w:rPr>
                <w:rFonts w:hint="eastAsia"/>
                <w:b/>
                <w:bCs/>
                <w:lang w:val="en-US"/>
              </w:rPr>
              <w:t>第24年</w:t>
            </w:r>
          </w:p>
        </w:tc>
        <w:tc>
          <w:tcPr>
            <w:tcW w:w="2268" w:type="dxa"/>
            <w:shd w:val="clear" w:color="auto" w:fill="F2F2F2"/>
          </w:tcPr>
          <w:p>
            <w:pPr>
              <w:spacing w:line="360" w:lineRule="exact"/>
              <w:jc w:val="center"/>
              <w:rPr>
                <w:lang w:val="en-US"/>
              </w:rPr>
            </w:pPr>
            <w:r>
              <w:rPr>
                <w:lang w:val="en-US"/>
              </w:rPr>
              <w:t>0.70%</w:t>
            </w:r>
          </w:p>
        </w:tc>
        <w:tc>
          <w:tcPr>
            <w:tcW w:w="2268" w:type="dxa"/>
            <w:shd w:val="clear" w:color="auto" w:fill="F2F2F2"/>
          </w:tcPr>
          <w:p>
            <w:pPr>
              <w:spacing w:line="360" w:lineRule="exact"/>
              <w:jc w:val="center"/>
              <w:rPr>
                <w:lang w:val="en-US"/>
              </w:rPr>
            </w:pPr>
            <w:r>
              <w:rPr>
                <w:lang w:val="en-US"/>
              </w:rPr>
              <w:t>155.88</w:t>
            </w:r>
          </w:p>
        </w:tc>
        <w:tc>
          <w:tcPr>
            <w:tcW w:w="2268" w:type="dxa"/>
            <w:shd w:val="clear" w:color="auto" w:fill="F2F2F2"/>
          </w:tcPr>
          <w:p>
            <w:pPr>
              <w:spacing w:line="360" w:lineRule="exact"/>
              <w:jc w:val="center"/>
              <w:rPr>
                <w:lang w:val="en-US"/>
              </w:rPr>
            </w:pPr>
            <w:r>
              <w:rPr>
                <w:lang w:val="en-US"/>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pPr>
              <w:spacing w:line="360" w:lineRule="exact"/>
              <w:jc w:val="center"/>
              <w:rPr>
                <w:b/>
                <w:bCs/>
                <w:lang w:val="en-US"/>
              </w:rPr>
            </w:pPr>
            <w:r>
              <w:rPr>
                <w:rFonts w:hint="eastAsia"/>
                <w:b/>
                <w:bCs/>
                <w:lang w:val="en-US"/>
              </w:rPr>
              <w:t>第25年</w:t>
            </w:r>
          </w:p>
        </w:tc>
        <w:tc>
          <w:tcPr>
            <w:tcW w:w="2268" w:type="dxa"/>
          </w:tcPr>
          <w:p>
            <w:pPr>
              <w:spacing w:line="360" w:lineRule="exact"/>
              <w:jc w:val="center"/>
              <w:rPr>
                <w:lang w:val="en-US"/>
              </w:rPr>
            </w:pPr>
            <w:r>
              <w:rPr>
                <w:lang w:val="en-US"/>
              </w:rPr>
              <w:t>0.70%</w:t>
            </w:r>
          </w:p>
        </w:tc>
        <w:tc>
          <w:tcPr>
            <w:tcW w:w="2268" w:type="dxa"/>
          </w:tcPr>
          <w:p>
            <w:pPr>
              <w:spacing w:line="360" w:lineRule="exact"/>
              <w:jc w:val="center"/>
              <w:rPr>
                <w:lang w:val="en-US"/>
              </w:rPr>
            </w:pPr>
            <w:r>
              <w:rPr>
                <w:lang w:val="en-US"/>
              </w:rPr>
              <w:t>154.79</w:t>
            </w:r>
          </w:p>
        </w:tc>
        <w:tc>
          <w:tcPr>
            <w:tcW w:w="2268" w:type="dxa"/>
          </w:tcPr>
          <w:p>
            <w:pPr>
              <w:spacing w:line="360" w:lineRule="exact"/>
              <w:jc w:val="center"/>
              <w:rPr>
                <w:lang w:val="en-US"/>
              </w:rPr>
            </w:pPr>
            <w:r>
              <w:rPr>
                <w:lang w:val="en-US"/>
              </w:rPr>
              <w:t>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4215.41MWh</w:t>
            </w:r>
          </w:p>
        </w:tc>
        <w:tc>
          <w:tcPr>
            <w:tcW w:w="2268" w:type="dxa"/>
            <w:shd w:val="clear" w:color="auto" w:fill="E65100"/>
            <w:vAlign w:val="center"/>
          </w:tcPr>
          <w:p>
            <w:pPr>
              <w:spacing w:line="360" w:lineRule="exact"/>
              <w:jc w:val="center"/>
              <w:rPr>
                <w:b/>
                <w:bCs/>
                <w:color w:val="FFFFFF"/>
                <w:sz w:val="24"/>
                <w:szCs w:val="24"/>
                <w:lang w:val="en-US"/>
              </w:rPr>
            </w:pPr>
            <w:r>
              <w:rPr>
                <w:b/>
                <w:bCs/>
                <w:color w:val="FFFFFF"/>
                <w:sz w:val="24"/>
                <w:szCs w:val="24"/>
                <w:lang w:val="en-US"/>
              </w:rPr>
              <w:t>21202h</w:t>
            </w:r>
          </w:p>
        </w:tc>
      </w:tr>
      <w:bookmarkEnd w:id="79"/>
    </w:tbl>
    <w:p>
      <w:pPr>
        <w:rPr>
          <w:rFonts w:ascii="黑体" w:hAnsi="黑体" w:eastAsia="黑体" w:cs="宋体"/>
          <w:bCs/>
          <w:color w:val="000000"/>
          <w:szCs w:val="18"/>
          <w:lang w:val="en-US"/>
        </w:rPr>
      </w:pPr>
    </w:p>
    <w:p>
      <w:pPr>
        <w:jc w:val="center"/>
        <w:rPr>
          <w:lang w:val="en-US"/>
        </w:rPr>
      </w:pPr>
      <w:bookmarkStart w:id="80" w:name="系统年发电量图"/>
      <w:bookmarkEnd w:id="80"/>
      <w:r>
        <w:drawing>
          <wp:inline distT="0" distB="0" distL="0" distR="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pPr>
        <w:pStyle w:val="2"/>
      </w:pPr>
      <w:bookmarkStart w:id="81" w:name="_Toc10959"/>
      <w:r>
        <w:rPr>
          <w:rFonts w:hint="eastAsia"/>
        </w:rPr>
        <w:t>经济效益分析</w:t>
      </w:r>
      <w:bookmarkEnd w:id="81"/>
    </w:p>
    <w:p>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rFonts w:hint="eastAsia"/>
                <w:lang w:val="en-US"/>
              </w:rPr>
              <w:t>198.82</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pPr>
              <w:rPr>
                <w:lang w:val="en-US"/>
              </w:rPr>
            </w:pPr>
            <w:r>
              <w:rPr>
                <w:rFonts w:hint="eastAsia"/>
                <w:lang w:val="en-US"/>
              </w:rPr>
              <w:t>59.65</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自发自用余电并网</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119.3</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pPr>
              <w:rPr>
                <w:lang w:val="en-US"/>
              </w:rPr>
            </w:pPr>
            <w:r>
              <w:rPr>
                <w:lang w:val="en-US"/>
              </w:rPr>
              <w:t>8.64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171.82</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0.99</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6%</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pPr>
              <w:rPr>
                <w:lang w:val="en-US"/>
              </w:rPr>
            </w:pPr>
            <w:r>
              <w:rPr>
                <w:lang w:val="en-US"/>
              </w:rPr>
              <w:t>30%</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83.51</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pPr>
              <w:rPr>
                <w:lang w:val="en-US"/>
              </w:rPr>
            </w:pPr>
            <w:r>
              <w:rPr>
                <w:lang w:val="en-US"/>
              </w:rPr>
              <w:t>4%</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27.68</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183.21</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pPr>
              <w:rPr>
                <w:lang w:val="en-US"/>
              </w:rPr>
            </w:pPr>
            <w:r>
              <w:rPr>
                <w:lang w:val="en-US"/>
              </w:rPr>
              <w:t>4215.41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168.62</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pPr>
              <w:rPr>
                <w:lang w:val="en-US"/>
              </w:rPr>
            </w:pPr>
            <w:r>
              <w:rPr>
                <w:lang w:val="en-US"/>
              </w:rPr>
              <w:t>0.41</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自用率</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98.77%</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自给率</w:t>
            </w:r>
          </w:p>
        </w:tc>
        <w:tc>
          <w:tcPr>
            <w:tcW w:w="1928" w:type="dxa"/>
            <w:tcBorders>
              <w:top w:val="single" w:color="7E7E7E" w:themeColor="text1" w:themeTint="80" w:sz="4" w:space="0"/>
              <w:bottom w:val="single" w:color="ED7D31" w:themeColor="accent2" w:sz="4" w:space="0"/>
            </w:tcBorders>
          </w:tcPr>
          <w:p>
            <w:pPr>
              <w:rPr>
                <w:lang w:val="en-US"/>
              </w:rPr>
            </w:pPr>
            <w:r>
              <w:rPr>
                <w:lang w:val="en-US"/>
              </w:rPr>
              <w:t>13%</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450.1</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pPr>
              <w:rPr>
                <w:lang w:val="en-US"/>
              </w:rPr>
            </w:pPr>
            <w:r>
              <w:rPr>
                <w:lang w:val="en-US"/>
              </w:rPr>
              <w:t>19.95</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278.28</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pPr>
              <w:rPr>
                <w:lang w:val="en-US"/>
              </w:rPr>
            </w:pPr>
            <w:r>
              <w:rPr>
                <w:lang w:val="en-US"/>
              </w:rPr>
              <w:t>7.75</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pPr>
              <w:rPr>
                <w:lang w:val="en-US"/>
              </w:rPr>
            </w:pPr>
            <w:r>
              <w:rPr>
                <w:lang w:val="en-US"/>
              </w:rPr>
              <w:t>94.89</w:t>
            </w:r>
          </w:p>
        </w:tc>
        <w:tc>
          <w:tcPr>
            <w:tcW w:w="2551" w:type="dxa"/>
            <w:tcBorders>
              <w:top w:val="single" w:color="ED7D31" w:themeColor="accent2" w:sz="4" w:space="0"/>
              <w:left w:val="single" w:color="ED7D31" w:themeColor="accent2" w:sz="4" w:space="0"/>
              <w:bottom w:val="single" w:color="ED7D31" w:themeColor="accent2" w:sz="4" w:space="0"/>
            </w:tcBorders>
          </w:tcPr>
          <w:p>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pPr>
              <w:rPr>
                <w:lang w:val="en-US"/>
              </w:rPr>
            </w:pPr>
            <w:r>
              <w:rPr>
                <w:lang w:val="en-US"/>
              </w:rPr>
              <w:t>12.46%</w:t>
            </w:r>
          </w:p>
        </w:tc>
      </w:tr>
      <w:bookmarkEnd w:id="82"/>
    </w:tbl>
    <w:p>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组件衰减率</w:t>
            </w:r>
          </w:p>
          <w:p>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年发电量</w:t>
            </w:r>
          </w:p>
          <w:p>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rFonts w:hint="eastAsia"/>
                <w:b/>
                <w:bCs/>
                <w:color w:val="FFFFFF"/>
                <w:szCs w:val="21"/>
              </w:rPr>
              <w:t>收益平衡</w:t>
            </w:r>
          </w:p>
          <w:p>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第1年</w:t>
            </w:r>
          </w:p>
        </w:tc>
        <w:tc>
          <w:tcPr>
            <w:tcW w:w="1512" w:type="dxa"/>
            <w:shd w:val="clear" w:color="auto" w:fill="F2F2F2"/>
          </w:tcPr>
          <w:p>
            <w:pPr>
              <w:spacing w:line="360" w:lineRule="exact"/>
              <w:jc w:val="center"/>
              <w:rPr>
                <w:lang w:val="en-US"/>
              </w:rPr>
            </w:pPr>
            <w:r>
              <w:rPr>
                <w:rFonts w:hint="eastAsia"/>
                <w:lang w:val="en-US"/>
              </w:rPr>
              <w:t>3.00%</w:t>
            </w:r>
          </w:p>
        </w:tc>
        <w:tc>
          <w:tcPr>
            <w:tcW w:w="1512" w:type="dxa"/>
            <w:shd w:val="clear" w:color="auto" w:fill="F2F2F2"/>
          </w:tcPr>
          <w:p>
            <w:pPr>
              <w:spacing w:line="360" w:lineRule="exact"/>
              <w:jc w:val="center"/>
              <w:rPr>
                <w:lang w:val="en-US"/>
              </w:rPr>
            </w:pPr>
            <w:r>
              <w:rPr>
                <w:rFonts w:hint="eastAsia"/>
                <w:lang w:val="en-US"/>
              </w:rPr>
              <w:t>183.21</w:t>
            </w:r>
          </w:p>
        </w:tc>
        <w:tc>
          <w:tcPr>
            <w:tcW w:w="1512" w:type="dxa"/>
            <w:shd w:val="clear" w:color="auto" w:fill="F2F2F2"/>
          </w:tcPr>
          <w:p>
            <w:pPr>
              <w:spacing w:line="360" w:lineRule="exact"/>
              <w:jc w:val="center"/>
              <w:rPr>
                <w:lang w:val="en-US"/>
              </w:rPr>
            </w:pPr>
            <w:r>
              <w:rPr>
                <w:rFonts w:hint="eastAsia"/>
                <w:lang w:val="en-US"/>
              </w:rPr>
              <w:t>19.95</w:t>
            </w:r>
          </w:p>
        </w:tc>
        <w:tc>
          <w:tcPr>
            <w:tcW w:w="1512" w:type="dxa"/>
            <w:shd w:val="clear" w:color="auto" w:fill="F2F2F2"/>
          </w:tcPr>
          <w:p>
            <w:pPr>
              <w:spacing w:line="360" w:lineRule="exact"/>
              <w:jc w:val="center"/>
              <w:rPr>
                <w:lang w:val="en-US"/>
              </w:rPr>
            </w:pPr>
            <w:r>
              <w:rPr>
                <w:rFonts w:hint="eastAsia"/>
                <w:lang w:val="en-US"/>
              </w:rPr>
              <w:t>-103.60</w:t>
            </w:r>
          </w:p>
        </w:tc>
        <w:tc>
          <w:tcPr>
            <w:tcW w:w="1512" w:type="dxa"/>
            <w:shd w:val="clear" w:color="auto" w:fill="F2F2F2"/>
          </w:tcPr>
          <w:p>
            <w:pPr>
              <w:spacing w:line="360" w:lineRule="exact"/>
              <w:jc w:val="center"/>
              <w:rPr>
                <w:lang w:val="en-US"/>
              </w:rPr>
            </w:pPr>
            <w:r>
              <w:rPr>
                <w:rFonts w:hint="eastAsia"/>
                <w:lang w:val="en-US"/>
              </w:rPr>
              <w:t>921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181.93</w:t>
            </w:r>
          </w:p>
        </w:tc>
        <w:tc>
          <w:tcPr>
            <w:tcW w:w="1512" w:type="dxa"/>
          </w:tcPr>
          <w:p>
            <w:pPr>
              <w:spacing w:line="360" w:lineRule="exact"/>
              <w:jc w:val="center"/>
              <w:rPr>
                <w:lang w:val="en-US"/>
              </w:rPr>
            </w:pPr>
            <w:r>
              <w:rPr>
                <w:rFonts w:hint="eastAsia"/>
                <w:lang w:val="en-US"/>
              </w:rPr>
              <w:t>19.37</w:t>
            </w:r>
          </w:p>
        </w:tc>
        <w:tc>
          <w:tcPr>
            <w:tcW w:w="1512" w:type="dxa"/>
          </w:tcPr>
          <w:p>
            <w:pPr>
              <w:spacing w:line="360" w:lineRule="exact"/>
              <w:jc w:val="center"/>
              <w:rPr>
                <w:lang w:val="en-US"/>
              </w:rPr>
            </w:pPr>
            <w:r>
              <w:rPr>
                <w:rFonts w:hint="eastAsia"/>
                <w:lang w:val="en-US"/>
              </w:rPr>
              <w:t>-88.33</w:t>
            </w:r>
          </w:p>
        </w:tc>
        <w:tc>
          <w:tcPr>
            <w:tcW w:w="1512" w:type="dxa"/>
          </w:tcPr>
          <w:p>
            <w:pPr>
              <w:spacing w:line="360" w:lineRule="exact"/>
              <w:jc w:val="center"/>
              <w:rPr>
                <w:lang w:val="en-US"/>
              </w:rPr>
            </w:pPr>
            <w:r>
              <w:rPr>
                <w:rFonts w:hint="eastAsia"/>
                <w:lang w:val="en-US"/>
              </w:rPr>
              <w:t>915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第3年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180.66</w:t>
            </w:r>
          </w:p>
        </w:tc>
        <w:tc>
          <w:tcPr>
            <w:tcW w:w="1512" w:type="dxa"/>
            <w:shd w:val="clear" w:color="auto" w:fill="F2F2F2"/>
          </w:tcPr>
          <w:p>
            <w:pPr>
              <w:spacing w:line="360" w:lineRule="exact"/>
              <w:jc w:val="center"/>
              <w:rPr>
                <w:lang w:val="en-US"/>
              </w:rPr>
            </w:pPr>
            <w:r>
              <w:rPr>
                <w:rFonts w:hint="eastAsia"/>
                <w:lang w:val="en-US"/>
              </w:rPr>
              <w:t>19.24</w:t>
            </w:r>
          </w:p>
        </w:tc>
        <w:tc>
          <w:tcPr>
            <w:tcW w:w="1512" w:type="dxa"/>
            <w:shd w:val="clear" w:color="auto" w:fill="F2F2F2"/>
          </w:tcPr>
          <w:p>
            <w:pPr>
              <w:spacing w:line="360" w:lineRule="exact"/>
              <w:jc w:val="center"/>
              <w:rPr>
                <w:lang w:val="en-US"/>
              </w:rPr>
            </w:pPr>
            <w:r>
              <w:rPr>
                <w:rFonts w:hint="eastAsia"/>
                <w:lang w:val="en-US"/>
              </w:rPr>
              <w:t>-73.00</w:t>
            </w:r>
          </w:p>
        </w:tc>
        <w:tc>
          <w:tcPr>
            <w:tcW w:w="1512" w:type="dxa"/>
            <w:shd w:val="clear" w:color="auto" w:fill="F2F2F2"/>
          </w:tcPr>
          <w:p>
            <w:pPr>
              <w:spacing w:line="360" w:lineRule="exact"/>
              <w:jc w:val="center"/>
              <w:rPr>
                <w:lang w:val="en-US"/>
              </w:rPr>
            </w:pPr>
            <w:r>
              <w:rPr>
                <w:rFonts w:hint="eastAsia"/>
                <w:lang w:val="en-US"/>
              </w:rPr>
              <w:t>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第4年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179.39</w:t>
            </w:r>
          </w:p>
        </w:tc>
        <w:tc>
          <w:tcPr>
            <w:tcW w:w="1512" w:type="dxa"/>
          </w:tcPr>
          <w:p>
            <w:pPr>
              <w:spacing w:line="360" w:lineRule="exact"/>
              <w:jc w:val="center"/>
              <w:rPr>
                <w:lang w:val="en-US"/>
              </w:rPr>
            </w:pPr>
            <w:r>
              <w:rPr>
                <w:rFonts w:hint="eastAsia"/>
                <w:lang w:val="en-US"/>
              </w:rPr>
              <w:t>19.11</w:t>
            </w:r>
          </w:p>
        </w:tc>
        <w:tc>
          <w:tcPr>
            <w:tcW w:w="1512" w:type="dxa"/>
          </w:tcPr>
          <w:p>
            <w:pPr>
              <w:spacing w:line="360" w:lineRule="exact"/>
              <w:jc w:val="center"/>
              <w:rPr>
                <w:lang w:val="en-US"/>
              </w:rPr>
            </w:pPr>
            <w:r>
              <w:rPr>
                <w:rFonts w:hint="eastAsia"/>
                <w:lang w:val="en-US"/>
              </w:rPr>
              <w:t>-57.63</w:t>
            </w:r>
          </w:p>
        </w:tc>
        <w:tc>
          <w:tcPr>
            <w:tcW w:w="1512" w:type="dxa"/>
          </w:tcPr>
          <w:p>
            <w:pPr>
              <w:spacing w:line="360" w:lineRule="exact"/>
              <w:jc w:val="center"/>
              <w:rPr>
                <w:lang w:val="en-US"/>
              </w:rPr>
            </w:pPr>
            <w:r>
              <w:rPr>
                <w:rFonts w:hint="eastAsia"/>
                <w:lang w:val="en-US"/>
              </w:rPr>
              <w:t>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第5年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178.13</w:t>
            </w:r>
          </w:p>
        </w:tc>
        <w:tc>
          <w:tcPr>
            <w:tcW w:w="1512" w:type="dxa"/>
            <w:shd w:val="clear" w:color="auto" w:fill="F2F2F2"/>
          </w:tcPr>
          <w:p>
            <w:pPr>
              <w:spacing w:line="360" w:lineRule="exact"/>
              <w:jc w:val="center"/>
              <w:rPr>
                <w:lang w:val="en-US"/>
              </w:rPr>
            </w:pPr>
            <w:r>
              <w:rPr>
                <w:rFonts w:hint="eastAsia"/>
                <w:lang w:val="en-US"/>
              </w:rPr>
              <w:t>18.98</w:t>
            </w:r>
          </w:p>
        </w:tc>
        <w:tc>
          <w:tcPr>
            <w:tcW w:w="1512" w:type="dxa"/>
            <w:shd w:val="clear" w:color="auto" w:fill="F2F2F2"/>
          </w:tcPr>
          <w:p>
            <w:pPr>
              <w:spacing w:line="360" w:lineRule="exact"/>
              <w:jc w:val="center"/>
              <w:rPr>
                <w:lang w:val="en-US"/>
              </w:rPr>
            </w:pPr>
            <w:r>
              <w:rPr>
                <w:rFonts w:hint="eastAsia"/>
                <w:lang w:val="en-US"/>
              </w:rPr>
              <w:t>-42.19</w:t>
            </w:r>
          </w:p>
        </w:tc>
        <w:tc>
          <w:tcPr>
            <w:tcW w:w="1512" w:type="dxa"/>
            <w:shd w:val="clear" w:color="auto" w:fill="F2F2F2"/>
          </w:tcPr>
          <w:p>
            <w:pPr>
              <w:spacing w:line="360" w:lineRule="exact"/>
              <w:jc w:val="center"/>
              <w:rPr>
                <w:lang w:val="en-US"/>
              </w:rPr>
            </w:pPr>
            <w:r>
              <w:rPr>
                <w:rFonts w:hint="eastAsia"/>
                <w:lang w:val="en-US"/>
              </w:rPr>
              <w:t>896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第6年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176.89</w:t>
            </w:r>
          </w:p>
        </w:tc>
        <w:tc>
          <w:tcPr>
            <w:tcW w:w="1512" w:type="dxa"/>
          </w:tcPr>
          <w:p>
            <w:pPr>
              <w:spacing w:line="360" w:lineRule="exact"/>
              <w:jc w:val="center"/>
              <w:rPr>
                <w:lang w:val="en-US"/>
              </w:rPr>
            </w:pPr>
            <w:r>
              <w:rPr>
                <w:rFonts w:hint="eastAsia"/>
                <w:lang w:val="en-US"/>
              </w:rPr>
              <w:t>18.85</w:t>
            </w:r>
          </w:p>
        </w:tc>
        <w:tc>
          <w:tcPr>
            <w:tcW w:w="1512" w:type="dxa"/>
          </w:tcPr>
          <w:p>
            <w:pPr>
              <w:spacing w:line="360" w:lineRule="exact"/>
              <w:jc w:val="center"/>
              <w:rPr>
                <w:lang w:val="en-US"/>
              </w:rPr>
            </w:pPr>
            <w:r>
              <w:rPr>
                <w:rFonts w:hint="eastAsia"/>
                <w:lang w:val="en-US"/>
              </w:rPr>
              <w:t>-26.69</w:t>
            </w:r>
          </w:p>
        </w:tc>
        <w:tc>
          <w:tcPr>
            <w:tcW w:w="1512" w:type="dxa"/>
          </w:tcPr>
          <w:p>
            <w:pPr>
              <w:spacing w:line="360" w:lineRule="exact"/>
              <w:jc w:val="center"/>
              <w:rPr>
                <w:lang w:val="en-US"/>
              </w:rPr>
            </w:pPr>
            <w:r>
              <w:rPr>
                <w:rFonts w:hint="eastAsia"/>
                <w:lang w:val="en-US"/>
              </w:rPr>
              <w:t>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第7年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175.65</w:t>
            </w:r>
          </w:p>
        </w:tc>
        <w:tc>
          <w:tcPr>
            <w:tcW w:w="1512" w:type="dxa"/>
            <w:shd w:val="clear" w:color="auto" w:fill="F2F2F2"/>
          </w:tcPr>
          <w:p>
            <w:pPr>
              <w:spacing w:line="360" w:lineRule="exact"/>
              <w:jc w:val="center"/>
              <w:rPr>
                <w:lang w:val="en-US"/>
              </w:rPr>
            </w:pPr>
            <w:r>
              <w:rPr>
                <w:rFonts w:hint="eastAsia"/>
                <w:lang w:val="en-US"/>
              </w:rPr>
              <w:t>18.72</w:t>
            </w:r>
          </w:p>
        </w:tc>
        <w:tc>
          <w:tcPr>
            <w:tcW w:w="1512" w:type="dxa"/>
            <w:shd w:val="clear" w:color="auto" w:fill="F2F2F2"/>
          </w:tcPr>
          <w:p>
            <w:pPr>
              <w:spacing w:line="360" w:lineRule="exact"/>
              <w:jc w:val="center"/>
              <w:rPr>
                <w:lang w:val="en-US"/>
              </w:rPr>
            </w:pPr>
            <w:r>
              <w:rPr>
                <w:rFonts w:hint="eastAsia"/>
                <w:lang w:val="en-US"/>
              </w:rPr>
              <w:t>-11.10</w:t>
            </w:r>
          </w:p>
        </w:tc>
        <w:tc>
          <w:tcPr>
            <w:tcW w:w="1512" w:type="dxa"/>
            <w:shd w:val="clear" w:color="auto" w:fill="F2F2F2"/>
          </w:tcPr>
          <w:p>
            <w:pPr>
              <w:spacing w:line="360" w:lineRule="exact"/>
              <w:jc w:val="center"/>
              <w:rPr>
                <w:lang w:val="en-US"/>
              </w:rPr>
            </w:pPr>
            <w:r>
              <w:rPr>
                <w:rFonts w:hint="eastAsia"/>
                <w:lang w:val="en-US"/>
              </w:rPr>
              <w:t>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第8年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174.42</w:t>
            </w:r>
          </w:p>
        </w:tc>
        <w:tc>
          <w:tcPr>
            <w:tcW w:w="1512" w:type="dxa"/>
          </w:tcPr>
          <w:p>
            <w:pPr>
              <w:spacing w:line="360" w:lineRule="exact"/>
              <w:jc w:val="center"/>
              <w:rPr>
                <w:lang w:val="en-US"/>
              </w:rPr>
            </w:pPr>
            <w:r>
              <w:rPr>
                <w:rFonts w:hint="eastAsia"/>
                <w:lang w:val="en-US"/>
              </w:rPr>
              <w:t>18.59</w:t>
            </w:r>
          </w:p>
        </w:tc>
        <w:tc>
          <w:tcPr>
            <w:tcW w:w="1512" w:type="dxa"/>
          </w:tcPr>
          <w:p>
            <w:pPr>
              <w:spacing w:line="360" w:lineRule="exact"/>
              <w:jc w:val="center"/>
              <w:rPr>
                <w:lang w:val="en-US"/>
              </w:rPr>
            </w:pPr>
            <w:r>
              <w:rPr>
                <w:rFonts w:hint="eastAsia"/>
                <w:lang w:val="en-US"/>
              </w:rPr>
              <w:t>4.57</w:t>
            </w:r>
          </w:p>
        </w:tc>
        <w:tc>
          <w:tcPr>
            <w:tcW w:w="1512" w:type="dxa"/>
          </w:tcPr>
          <w:p>
            <w:pPr>
              <w:spacing w:line="360" w:lineRule="exact"/>
              <w:jc w:val="center"/>
              <w:rPr>
                <w:lang w:val="en-US"/>
              </w:rPr>
            </w:pPr>
            <w:r>
              <w:rPr>
                <w:rFonts w:hint="eastAsia"/>
                <w:lang w:val="en-US"/>
              </w:rPr>
              <w:t>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第9年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173.20</w:t>
            </w:r>
          </w:p>
        </w:tc>
        <w:tc>
          <w:tcPr>
            <w:tcW w:w="1512" w:type="dxa"/>
            <w:shd w:val="clear" w:color="auto" w:fill="F2F2F2"/>
          </w:tcPr>
          <w:p>
            <w:pPr>
              <w:spacing w:line="360" w:lineRule="exact"/>
              <w:jc w:val="center"/>
              <w:rPr>
                <w:lang w:val="en-US"/>
              </w:rPr>
            </w:pPr>
            <w:r>
              <w:rPr>
                <w:rFonts w:hint="eastAsia"/>
                <w:lang w:val="en-US"/>
              </w:rPr>
              <w:t>18.46</w:t>
            </w:r>
          </w:p>
        </w:tc>
        <w:tc>
          <w:tcPr>
            <w:tcW w:w="1512" w:type="dxa"/>
            <w:shd w:val="clear" w:color="auto" w:fill="F2F2F2"/>
          </w:tcPr>
          <w:p>
            <w:pPr>
              <w:spacing w:line="360" w:lineRule="exact"/>
              <w:jc w:val="center"/>
              <w:rPr>
                <w:lang w:val="en-US"/>
              </w:rPr>
            </w:pPr>
            <w:r>
              <w:rPr>
                <w:rFonts w:hint="eastAsia"/>
                <w:lang w:val="en-US"/>
              </w:rPr>
              <w:t>20.33</w:t>
            </w:r>
          </w:p>
        </w:tc>
        <w:tc>
          <w:tcPr>
            <w:tcW w:w="1512" w:type="dxa"/>
            <w:shd w:val="clear" w:color="auto" w:fill="F2F2F2"/>
          </w:tcPr>
          <w:p>
            <w:pPr>
              <w:spacing w:line="360" w:lineRule="exact"/>
              <w:jc w:val="center"/>
              <w:rPr>
                <w:lang w:val="en-US"/>
              </w:rPr>
            </w:pPr>
            <w:r>
              <w:rPr>
                <w:rFonts w:hint="eastAsia"/>
                <w:lang w:val="en-US"/>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第10年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171.99</w:t>
            </w:r>
          </w:p>
        </w:tc>
        <w:tc>
          <w:tcPr>
            <w:tcW w:w="1512" w:type="dxa"/>
          </w:tcPr>
          <w:p>
            <w:pPr>
              <w:spacing w:line="360" w:lineRule="exact"/>
              <w:jc w:val="center"/>
              <w:rPr>
                <w:lang w:val="en-US"/>
              </w:rPr>
            </w:pPr>
            <w:r>
              <w:rPr>
                <w:rFonts w:hint="eastAsia"/>
                <w:lang w:val="en-US"/>
              </w:rPr>
              <w:t>18.34</w:t>
            </w:r>
          </w:p>
        </w:tc>
        <w:tc>
          <w:tcPr>
            <w:tcW w:w="1512" w:type="dxa"/>
          </w:tcPr>
          <w:p>
            <w:pPr>
              <w:spacing w:line="360" w:lineRule="exact"/>
              <w:jc w:val="center"/>
              <w:rPr>
                <w:lang w:val="en-US"/>
              </w:rPr>
            </w:pPr>
            <w:r>
              <w:rPr>
                <w:rFonts w:hint="eastAsia"/>
                <w:lang w:val="en-US"/>
              </w:rPr>
              <w:t>36.21</w:t>
            </w:r>
          </w:p>
        </w:tc>
        <w:tc>
          <w:tcPr>
            <w:tcW w:w="1512" w:type="dxa"/>
          </w:tcPr>
          <w:p>
            <w:pPr>
              <w:spacing w:line="360" w:lineRule="exact"/>
              <w:jc w:val="center"/>
              <w:rPr>
                <w:lang w:val="en-US"/>
              </w:rPr>
            </w:pPr>
            <w:r>
              <w:rPr>
                <w:rFonts w:hint="eastAsia"/>
                <w:lang w:val="en-US"/>
              </w:rPr>
              <w:t>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第11年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170.78</w:t>
            </w:r>
          </w:p>
        </w:tc>
        <w:tc>
          <w:tcPr>
            <w:tcW w:w="1512" w:type="dxa"/>
            <w:shd w:val="clear" w:color="auto" w:fill="F2F2F2"/>
          </w:tcPr>
          <w:p>
            <w:pPr>
              <w:spacing w:line="360" w:lineRule="exact"/>
              <w:jc w:val="center"/>
              <w:rPr>
                <w:lang w:val="en-US"/>
              </w:rPr>
            </w:pPr>
            <w:r>
              <w:rPr>
                <w:rFonts w:hint="eastAsia"/>
                <w:lang w:val="en-US"/>
              </w:rPr>
              <w:t>18.21</w:t>
            </w:r>
          </w:p>
        </w:tc>
        <w:tc>
          <w:tcPr>
            <w:tcW w:w="1512" w:type="dxa"/>
            <w:shd w:val="clear" w:color="auto" w:fill="F2F2F2"/>
          </w:tcPr>
          <w:p>
            <w:pPr>
              <w:spacing w:line="360" w:lineRule="exact"/>
              <w:jc w:val="center"/>
              <w:rPr>
                <w:lang w:val="en-US"/>
              </w:rPr>
            </w:pPr>
            <w:r>
              <w:rPr>
                <w:rFonts w:hint="eastAsia"/>
                <w:lang w:val="en-US"/>
              </w:rPr>
              <w:t>52.20</w:t>
            </w:r>
          </w:p>
        </w:tc>
        <w:tc>
          <w:tcPr>
            <w:tcW w:w="1512" w:type="dxa"/>
            <w:shd w:val="clear" w:color="auto" w:fill="F2F2F2"/>
          </w:tcPr>
          <w:p>
            <w:pPr>
              <w:spacing w:line="360" w:lineRule="exact"/>
              <w:jc w:val="center"/>
              <w:rPr>
                <w:lang w:val="en-US"/>
              </w:rPr>
            </w:pPr>
            <w:r>
              <w:rPr>
                <w:rFonts w:hint="eastAsia"/>
                <w:lang w:val="en-US"/>
              </w:rPr>
              <w:t>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第12年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169.59</w:t>
            </w:r>
          </w:p>
        </w:tc>
        <w:tc>
          <w:tcPr>
            <w:tcW w:w="1512" w:type="dxa"/>
          </w:tcPr>
          <w:p>
            <w:pPr>
              <w:spacing w:line="360" w:lineRule="exact"/>
              <w:jc w:val="center"/>
              <w:rPr>
                <w:lang w:val="en-US"/>
              </w:rPr>
            </w:pPr>
            <w:r>
              <w:rPr>
                <w:rFonts w:hint="eastAsia"/>
                <w:lang w:val="en-US"/>
              </w:rPr>
              <w:t>18.09</w:t>
            </w:r>
          </w:p>
        </w:tc>
        <w:tc>
          <w:tcPr>
            <w:tcW w:w="1512" w:type="dxa"/>
          </w:tcPr>
          <w:p>
            <w:pPr>
              <w:spacing w:line="360" w:lineRule="exact"/>
              <w:jc w:val="center"/>
              <w:rPr>
                <w:lang w:val="en-US"/>
              </w:rPr>
            </w:pPr>
            <w:r>
              <w:rPr>
                <w:rFonts w:hint="eastAsia"/>
                <w:lang w:val="en-US"/>
              </w:rPr>
              <w:t>68.32</w:t>
            </w:r>
          </w:p>
        </w:tc>
        <w:tc>
          <w:tcPr>
            <w:tcW w:w="1512" w:type="dxa"/>
          </w:tcPr>
          <w:p>
            <w:pPr>
              <w:spacing w:line="360" w:lineRule="exact"/>
              <w:jc w:val="center"/>
              <w:rPr>
                <w:lang w:val="en-US"/>
              </w:rPr>
            </w:pPr>
            <w:r>
              <w:rPr>
                <w:rFonts w:hint="eastAsia"/>
                <w:lang w:val="en-US"/>
              </w:rPr>
              <w:t>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第13年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168.40</w:t>
            </w:r>
          </w:p>
        </w:tc>
        <w:tc>
          <w:tcPr>
            <w:tcW w:w="1512" w:type="dxa"/>
            <w:shd w:val="clear" w:color="auto" w:fill="F2F2F2"/>
          </w:tcPr>
          <w:p>
            <w:pPr>
              <w:spacing w:line="360" w:lineRule="exact"/>
              <w:jc w:val="center"/>
              <w:rPr>
                <w:lang w:val="en-US"/>
              </w:rPr>
            </w:pPr>
            <w:r>
              <w:rPr>
                <w:rFonts w:hint="eastAsia"/>
                <w:lang w:val="en-US"/>
              </w:rPr>
              <w:t>17.97</w:t>
            </w:r>
          </w:p>
        </w:tc>
        <w:tc>
          <w:tcPr>
            <w:tcW w:w="1512" w:type="dxa"/>
            <w:shd w:val="clear" w:color="auto" w:fill="F2F2F2"/>
          </w:tcPr>
          <w:p>
            <w:pPr>
              <w:spacing w:line="360" w:lineRule="exact"/>
              <w:jc w:val="center"/>
              <w:rPr>
                <w:lang w:val="en-US"/>
              </w:rPr>
            </w:pPr>
            <w:r>
              <w:rPr>
                <w:rFonts w:hint="eastAsia"/>
                <w:lang w:val="en-US"/>
              </w:rPr>
              <w:t>84.57</w:t>
            </w:r>
          </w:p>
        </w:tc>
        <w:tc>
          <w:tcPr>
            <w:tcW w:w="1512" w:type="dxa"/>
            <w:shd w:val="clear" w:color="auto" w:fill="F2F2F2"/>
          </w:tcPr>
          <w:p>
            <w:pPr>
              <w:spacing w:line="360" w:lineRule="exact"/>
              <w:jc w:val="center"/>
              <w:rPr>
                <w:lang w:val="en-US"/>
              </w:rPr>
            </w:pPr>
            <w:r>
              <w:rPr>
                <w:rFonts w:hint="eastAsia"/>
                <w:lang w:val="en-US"/>
              </w:rPr>
              <w:t>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第14年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167.22</w:t>
            </w:r>
          </w:p>
        </w:tc>
        <w:tc>
          <w:tcPr>
            <w:tcW w:w="1512" w:type="dxa"/>
          </w:tcPr>
          <w:p>
            <w:pPr>
              <w:spacing w:line="360" w:lineRule="exact"/>
              <w:jc w:val="center"/>
              <w:rPr>
                <w:lang w:val="en-US"/>
              </w:rPr>
            </w:pPr>
            <w:r>
              <w:rPr>
                <w:rFonts w:hint="eastAsia"/>
                <w:lang w:val="en-US"/>
              </w:rPr>
              <w:t>17.84</w:t>
            </w:r>
          </w:p>
        </w:tc>
        <w:tc>
          <w:tcPr>
            <w:tcW w:w="1512" w:type="dxa"/>
          </w:tcPr>
          <w:p>
            <w:pPr>
              <w:spacing w:line="360" w:lineRule="exact"/>
              <w:jc w:val="center"/>
              <w:rPr>
                <w:lang w:val="en-US"/>
              </w:rPr>
            </w:pPr>
            <w:r>
              <w:rPr>
                <w:rFonts w:hint="eastAsia"/>
                <w:lang w:val="en-US"/>
              </w:rPr>
              <w:t>100.98</w:t>
            </w:r>
          </w:p>
        </w:tc>
        <w:tc>
          <w:tcPr>
            <w:tcW w:w="1512" w:type="dxa"/>
          </w:tcPr>
          <w:p>
            <w:pPr>
              <w:spacing w:line="360" w:lineRule="exact"/>
              <w:jc w:val="center"/>
              <w:rPr>
                <w:lang w:val="en-US"/>
              </w:rPr>
            </w:pPr>
            <w:r>
              <w:rPr>
                <w:rFonts w:hint="eastAsia"/>
                <w:lang w:val="en-US"/>
              </w:rPr>
              <w:t>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第15年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166.05</w:t>
            </w:r>
          </w:p>
        </w:tc>
        <w:tc>
          <w:tcPr>
            <w:tcW w:w="1512" w:type="dxa"/>
            <w:shd w:val="clear" w:color="auto" w:fill="F2F2F2"/>
          </w:tcPr>
          <w:p>
            <w:pPr>
              <w:spacing w:line="360" w:lineRule="exact"/>
              <w:jc w:val="center"/>
              <w:rPr>
                <w:lang w:val="en-US"/>
              </w:rPr>
            </w:pPr>
            <w:r>
              <w:rPr>
                <w:rFonts w:hint="eastAsia"/>
                <w:lang w:val="en-US"/>
              </w:rPr>
              <w:t>17.72</w:t>
            </w:r>
          </w:p>
        </w:tc>
        <w:tc>
          <w:tcPr>
            <w:tcW w:w="1512" w:type="dxa"/>
            <w:shd w:val="clear" w:color="auto" w:fill="F2F2F2"/>
          </w:tcPr>
          <w:p>
            <w:pPr>
              <w:spacing w:line="360" w:lineRule="exact"/>
              <w:jc w:val="center"/>
              <w:rPr>
                <w:lang w:val="en-US"/>
              </w:rPr>
            </w:pPr>
            <w:r>
              <w:rPr>
                <w:rFonts w:hint="eastAsia"/>
                <w:lang w:val="en-US"/>
              </w:rPr>
              <w:t>117.55</w:t>
            </w:r>
          </w:p>
        </w:tc>
        <w:tc>
          <w:tcPr>
            <w:tcW w:w="1512" w:type="dxa"/>
            <w:shd w:val="clear" w:color="auto" w:fill="F2F2F2"/>
          </w:tcPr>
          <w:p>
            <w:pPr>
              <w:spacing w:line="360" w:lineRule="exact"/>
              <w:jc w:val="center"/>
              <w:rPr>
                <w:lang w:val="en-US"/>
              </w:rPr>
            </w:pPr>
            <w:r>
              <w:rPr>
                <w:rFonts w:hint="eastAsia"/>
                <w:lang w:val="en-US"/>
              </w:rPr>
              <w:t>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第16年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164.89</w:t>
            </w:r>
          </w:p>
        </w:tc>
        <w:tc>
          <w:tcPr>
            <w:tcW w:w="1512" w:type="dxa"/>
          </w:tcPr>
          <w:p>
            <w:pPr>
              <w:spacing w:line="360" w:lineRule="exact"/>
              <w:jc w:val="center"/>
              <w:rPr>
                <w:lang w:val="en-US"/>
              </w:rPr>
            </w:pPr>
            <w:r>
              <w:rPr>
                <w:rFonts w:hint="eastAsia"/>
                <w:lang w:val="en-US"/>
              </w:rPr>
              <w:t>17.60</w:t>
            </w:r>
          </w:p>
        </w:tc>
        <w:tc>
          <w:tcPr>
            <w:tcW w:w="1512" w:type="dxa"/>
          </w:tcPr>
          <w:p>
            <w:pPr>
              <w:spacing w:line="360" w:lineRule="exact"/>
              <w:jc w:val="center"/>
              <w:rPr>
                <w:lang w:val="en-US"/>
              </w:rPr>
            </w:pPr>
            <w:r>
              <w:rPr>
                <w:rFonts w:hint="eastAsia"/>
                <w:lang w:val="en-US"/>
              </w:rPr>
              <w:t>134.15</w:t>
            </w:r>
          </w:p>
        </w:tc>
        <w:tc>
          <w:tcPr>
            <w:tcW w:w="1512" w:type="dxa"/>
          </w:tcPr>
          <w:p>
            <w:pPr>
              <w:spacing w:line="360" w:lineRule="exact"/>
              <w:jc w:val="center"/>
              <w:rPr>
                <w:lang w:val="en-US"/>
              </w:rPr>
            </w:pPr>
            <w:r>
              <w:rPr>
                <w:rFonts w:hint="eastAsia"/>
                <w:lang w:val="en-US"/>
              </w:rPr>
              <w:t>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第17年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163.73</w:t>
            </w:r>
          </w:p>
        </w:tc>
        <w:tc>
          <w:tcPr>
            <w:tcW w:w="1512" w:type="dxa"/>
            <w:shd w:val="clear" w:color="auto" w:fill="F2F2F2"/>
          </w:tcPr>
          <w:p>
            <w:pPr>
              <w:spacing w:line="360" w:lineRule="exact"/>
              <w:jc w:val="center"/>
              <w:rPr>
                <w:lang w:val="en-US"/>
              </w:rPr>
            </w:pPr>
            <w:r>
              <w:rPr>
                <w:rFonts w:hint="eastAsia"/>
                <w:lang w:val="en-US"/>
              </w:rPr>
              <w:t>17.48</w:t>
            </w:r>
          </w:p>
        </w:tc>
        <w:tc>
          <w:tcPr>
            <w:tcW w:w="1512" w:type="dxa"/>
            <w:shd w:val="clear" w:color="auto" w:fill="F2F2F2"/>
          </w:tcPr>
          <w:p>
            <w:pPr>
              <w:spacing w:line="360" w:lineRule="exact"/>
              <w:jc w:val="center"/>
              <w:rPr>
                <w:lang w:val="en-US"/>
              </w:rPr>
            </w:pPr>
            <w:r>
              <w:rPr>
                <w:rFonts w:hint="eastAsia"/>
                <w:lang w:val="en-US"/>
              </w:rPr>
              <w:t>150.64</w:t>
            </w:r>
          </w:p>
        </w:tc>
        <w:tc>
          <w:tcPr>
            <w:tcW w:w="1512" w:type="dxa"/>
            <w:shd w:val="clear" w:color="auto" w:fill="F2F2F2"/>
          </w:tcPr>
          <w:p>
            <w:pPr>
              <w:spacing w:line="360" w:lineRule="exact"/>
              <w:jc w:val="center"/>
              <w:rPr>
                <w:lang w:val="en-US"/>
              </w:rPr>
            </w:pPr>
            <w:r>
              <w:rPr>
                <w:rFonts w:hint="eastAsia"/>
                <w:lang w:val="en-US"/>
              </w:rPr>
              <w:t>824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第18年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162.59</w:t>
            </w:r>
          </w:p>
        </w:tc>
        <w:tc>
          <w:tcPr>
            <w:tcW w:w="1512" w:type="dxa"/>
          </w:tcPr>
          <w:p>
            <w:pPr>
              <w:spacing w:line="360" w:lineRule="exact"/>
              <w:jc w:val="center"/>
              <w:rPr>
                <w:lang w:val="en-US"/>
              </w:rPr>
            </w:pPr>
            <w:r>
              <w:rPr>
                <w:rFonts w:hint="eastAsia"/>
                <w:lang w:val="en-US"/>
              </w:rPr>
              <w:t>17.36</w:t>
            </w:r>
          </w:p>
        </w:tc>
        <w:tc>
          <w:tcPr>
            <w:tcW w:w="1512" w:type="dxa"/>
          </w:tcPr>
          <w:p>
            <w:pPr>
              <w:spacing w:line="360" w:lineRule="exact"/>
              <w:jc w:val="center"/>
              <w:rPr>
                <w:lang w:val="en-US"/>
              </w:rPr>
            </w:pPr>
            <w:r>
              <w:rPr>
                <w:rFonts w:hint="eastAsia"/>
                <w:lang w:val="en-US"/>
              </w:rPr>
              <w:t>167.01</w:t>
            </w:r>
          </w:p>
        </w:tc>
        <w:tc>
          <w:tcPr>
            <w:tcW w:w="1512" w:type="dxa"/>
          </w:tcPr>
          <w:p>
            <w:pPr>
              <w:spacing w:line="360" w:lineRule="exact"/>
              <w:jc w:val="center"/>
              <w:rPr>
                <w:lang w:val="en-US"/>
              </w:rPr>
            </w:pPr>
            <w:r>
              <w:rPr>
                <w:rFonts w:hint="eastAsia"/>
                <w:lang w:val="en-US"/>
              </w:rPr>
              <w:t>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第19年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161.45</w:t>
            </w:r>
          </w:p>
        </w:tc>
        <w:tc>
          <w:tcPr>
            <w:tcW w:w="1512" w:type="dxa"/>
            <w:shd w:val="clear" w:color="auto" w:fill="F2F2F2"/>
          </w:tcPr>
          <w:p>
            <w:pPr>
              <w:spacing w:line="360" w:lineRule="exact"/>
              <w:jc w:val="center"/>
              <w:rPr>
                <w:lang w:val="en-US"/>
              </w:rPr>
            </w:pPr>
            <w:r>
              <w:rPr>
                <w:rFonts w:hint="eastAsia"/>
                <w:lang w:val="en-US"/>
              </w:rPr>
              <w:t>17.24</w:t>
            </w:r>
          </w:p>
        </w:tc>
        <w:tc>
          <w:tcPr>
            <w:tcW w:w="1512" w:type="dxa"/>
            <w:shd w:val="clear" w:color="auto" w:fill="F2F2F2"/>
          </w:tcPr>
          <w:p>
            <w:pPr>
              <w:spacing w:line="360" w:lineRule="exact"/>
              <w:jc w:val="center"/>
              <w:rPr>
                <w:lang w:val="en-US"/>
              </w:rPr>
            </w:pPr>
            <w:r>
              <w:rPr>
                <w:rFonts w:hint="eastAsia"/>
                <w:lang w:val="en-US"/>
              </w:rPr>
              <w:t>183.25</w:t>
            </w:r>
          </w:p>
        </w:tc>
        <w:tc>
          <w:tcPr>
            <w:tcW w:w="1512" w:type="dxa"/>
            <w:shd w:val="clear" w:color="auto" w:fill="F2F2F2"/>
          </w:tcPr>
          <w:p>
            <w:pPr>
              <w:spacing w:line="360" w:lineRule="exact"/>
              <w:jc w:val="center"/>
              <w:rPr>
                <w:lang w:val="en-US"/>
              </w:rPr>
            </w:pPr>
            <w:r>
              <w:rPr>
                <w:rFonts w:hint="eastAsia"/>
                <w:lang w:val="en-US"/>
              </w:rPr>
              <w:t>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第20年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160.32</w:t>
            </w:r>
          </w:p>
        </w:tc>
        <w:tc>
          <w:tcPr>
            <w:tcW w:w="1512" w:type="dxa"/>
          </w:tcPr>
          <w:p>
            <w:pPr>
              <w:spacing w:line="360" w:lineRule="exact"/>
              <w:jc w:val="center"/>
              <w:rPr>
                <w:lang w:val="en-US"/>
              </w:rPr>
            </w:pPr>
            <w:r>
              <w:rPr>
                <w:rFonts w:hint="eastAsia"/>
                <w:lang w:val="en-US"/>
              </w:rPr>
              <w:t>17.12</w:t>
            </w:r>
          </w:p>
        </w:tc>
        <w:tc>
          <w:tcPr>
            <w:tcW w:w="1512" w:type="dxa"/>
          </w:tcPr>
          <w:p>
            <w:pPr>
              <w:spacing w:line="360" w:lineRule="exact"/>
              <w:jc w:val="center"/>
              <w:rPr>
                <w:lang w:val="en-US"/>
              </w:rPr>
            </w:pPr>
            <w:r>
              <w:rPr>
                <w:rFonts w:hint="eastAsia"/>
                <w:lang w:val="en-US"/>
              </w:rPr>
              <w:t>199.38</w:t>
            </w:r>
          </w:p>
        </w:tc>
        <w:tc>
          <w:tcPr>
            <w:tcW w:w="1512" w:type="dxa"/>
          </w:tcPr>
          <w:p>
            <w:pPr>
              <w:spacing w:line="360" w:lineRule="exact"/>
              <w:jc w:val="center"/>
              <w:rPr>
                <w:lang w:val="en-US"/>
              </w:rPr>
            </w:pPr>
            <w:r>
              <w:rPr>
                <w:rFonts w:hint="eastAsia"/>
                <w:lang w:val="en-US"/>
              </w:rPr>
              <w:t>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第21年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159.20</w:t>
            </w:r>
          </w:p>
        </w:tc>
        <w:tc>
          <w:tcPr>
            <w:tcW w:w="1512" w:type="dxa"/>
            <w:shd w:val="clear" w:color="auto" w:fill="F2F2F2"/>
          </w:tcPr>
          <w:p>
            <w:pPr>
              <w:spacing w:line="360" w:lineRule="exact"/>
              <w:jc w:val="center"/>
              <w:rPr>
                <w:lang w:val="en-US"/>
              </w:rPr>
            </w:pPr>
            <w:r>
              <w:rPr>
                <w:rFonts w:hint="eastAsia"/>
                <w:lang w:val="en-US"/>
              </w:rPr>
              <w:t>17.01</w:t>
            </w:r>
          </w:p>
        </w:tc>
        <w:tc>
          <w:tcPr>
            <w:tcW w:w="1512" w:type="dxa"/>
            <w:shd w:val="clear" w:color="auto" w:fill="F2F2F2"/>
          </w:tcPr>
          <w:p>
            <w:pPr>
              <w:spacing w:line="360" w:lineRule="exact"/>
              <w:jc w:val="center"/>
              <w:rPr>
                <w:lang w:val="en-US"/>
              </w:rPr>
            </w:pPr>
            <w:r>
              <w:rPr>
                <w:rFonts w:hint="eastAsia"/>
                <w:lang w:val="en-US"/>
              </w:rPr>
              <w:t>215.39</w:t>
            </w:r>
          </w:p>
        </w:tc>
        <w:tc>
          <w:tcPr>
            <w:tcW w:w="1512" w:type="dxa"/>
            <w:shd w:val="clear" w:color="auto" w:fill="F2F2F2"/>
          </w:tcPr>
          <w:p>
            <w:pPr>
              <w:spacing w:line="360" w:lineRule="exact"/>
              <w:jc w:val="center"/>
              <w:rPr>
                <w:lang w:val="en-US"/>
              </w:rPr>
            </w:pPr>
            <w:r>
              <w:rPr>
                <w:rFonts w:hint="eastAsia"/>
                <w:lang w:val="en-US"/>
              </w:rPr>
              <w:t>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第22年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158.08</w:t>
            </w:r>
          </w:p>
        </w:tc>
        <w:tc>
          <w:tcPr>
            <w:tcW w:w="1512" w:type="dxa"/>
          </w:tcPr>
          <w:p>
            <w:pPr>
              <w:spacing w:line="360" w:lineRule="exact"/>
              <w:jc w:val="center"/>
              <w:rPr>
                <w:lang w:val="en-US"/>
              </w:rPr>
            </w:pPr>
            <w:r>
              <w:rPr>
                <w:rFonts w:hint="eastAsia"/>
                <w:lang w:val="en-US"/>
              </w:rPr>
              <w:t>16.89</w:t>
            </w:r>
          </w:p>
        </w:tc>
        <w:tc>
          <w:tcPr>
            <w:tcW w:w="1512" w:type="dxa"/>
          </w:tcPr>
          <w:p>
            <w:pPr>
              <w:spacing w:line="360" w:lineRule="exact"/>
              <w:jc w:val="center"/>
              <w:rPr>
                <w:lang w:val="en-US"/>
              </w:rPr>
            </w:pPr>
            <w:r>
              <w:rPr>
                <w:rFonts w:hint="eastAsia"/>
                <w:lang w:val="en-US"/>
              </w:rPr>
              <w:t>231.29</w:t>
            </w:r>
          </w:p>
        </w:tc>
        <w:tc>
          <w:tcPr>
            <w:tcW w:w="1512" w:type="dxa"/>
          </w:tcPr>
          <w:p>
            <w:pPr>
              <w:spacing w:line="360" w:lineRule="exact"/>
              <w:jc w:val="center"/>
              <w:rPr>
                <w:lang w:val="en-US"/>
              </w:rPr>
            </w:pPr>
            <w:r>
              <w:rPr>
                <w:rFonts w:hint="eastAsia"/>
                <w:lang w:val="en-US"/>
              </w:rPr>
              <w:t>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第23年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156.98</w:t>
            </w:r>
          </w:p>
        </w:tc>
        <w:tc>
          <w:tcPr>
            <w:tcW w:w="1512" w:type="dxa"/>
            <w:shd w:val="clear" w:color="auto" w:fill="F2F2F2"/>
          </w:tcPr>
          <w:p>
            <w:pPr>
              <w:spacing w:line="360" w:lineRule="exact"/>
              <w:jc w:val="center"/>
              <w:rPr>
                <w:lang w:val="en-US"/>
              </w:rPr>
            </w:pPr>
            <w:r>
              <w:rPr>
                <w:rFonts w:hint="eastAsia"/>
                <w:lang w:val="en-US"/>
              </w:rPr>
              <w:t>16.77</w:t>
            </w:r>
          </w:p>
        </w:tc>
        <w:tc>
          <w:tcPr>
            <w:tcW w:w="1512" w:type="dxa"/>
            <w:shd w:val="clear" w:color="auto" w:fill="F2F2F2"/>
          </w:tcPr>
          <w:p>
            <w:pPr>
              <w:spacing w:line="360" w:lineRule="exact"/>
              <w:jc w:val="center"/>
              <w:rPr>
                <w:lang w:val="en-US"/>
              </w:rPr>
            </w:pPr>
            <w:r>
              <w:rPr>
                <w:rFonts w:hint="eastAsia"/>
                <w:lang w:val="en-US"/>
              </w:rPr>
              <w:t>247.07</w:t>
            </w:r>
          </w:p>
        </w:tc>
        <w:tc>
          <w:tcPr>
            <w:tcW w:w="1512" w:type="dxa"/>
            <w:shd w:val="clear" w:color="auto" w:fill="F2F2F2"/>
          </w:tcPr>
          <w:p>
            <w:pPr>
              <w:spacing w:line="360" w:lineRule="exact"/>
              <w:jc w:val="center"/>
              <w:rPr>
                <w:lang w:val="en-US"/>
              </w:rPr>
            </w:pPr>
            <w:r>
              <w:rPr>
                <w:rFonts w:hint="eastAsia"/>
                <w:lang w:val="en-US"/>
              </w:rPr>
              <w:t>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pPr>
              <w:spacing w:line="360" w:lineRule="exact"/>
              <w:jc w:val="center"/>
              <w:rPr>
                <w:b/>
                <w:bCs/>
                <w:lang w:val="en-US"/>
              </w:rPr>
            </w:pPr>
            <w:r>
              <w:rPr>
                <w:rFonts w:hint="eastAsia"/>
                <w:b/>
                <w:bCs/>
                <w:lang w:val="en-US"/>
              </w:rPr>
              <w:t>第24年</w:t>
            </w:r>
          </w:p>
        </w:tc>
        <w:tc>
          <w:tcPr>
            <w:tcW w:w="1512" w:type="dxa"/>
          </w:tcPr>
          <w:p>
            <w:pPr>
              <w:spacing w:line="360" w:lineRule="exact"/>
              <w:jc w:val="center"/>
              <w:rPr>
                <w:lang w:val="en-US"/>
              </w:rPr>
            </w:pPr>
            <w:r>
              <w:rPr>
                <w:rFonts w:hint="eastAsia"/>
                <w:lang w:val="en-US"/>
              </w:rPr>
              <w:t>0.70%</w:t>
            </w:r>
          </w:p>
        </w:tc>
        <w:tc>
          <w:tcPr>
            <w:tcW w:w="1512" w:type="dxa"/>
          </w:tcPr>
          <w:p>
            <w:pPr>
              <w:spacing w:line="360" w:lineRule="exact"/>
              <w:jc w:val="center"/>
              <w:rPr>
                <w:lang w:val="en-US"/>
              </w:rPr>
            </w:pPr>
            <w:r>
              <w:rPr>
                <w:rFonts w:hint="eastAsia"/>
                <w:lang w:val="en-US"/>
              </w:rPr>
              <w:t>155.88</w:t>
            </w:r>
          </w:p>
        </w:tc>
        <w:tc>
          <w:tcPr>
            <w:tcW w:w="1512" w:type="dxa"/>
          </w:tcPr>
          <w:p>
            <w:pPr>
              <w:spacing w:line="360" w:lineRule="exact"/>
              <w:jc w:val="center"/>
              <w:rPr>
                <w:lang w:val="en-US"/>
              </w:rPr>
            </w:pPr>
            <w:r>
              <w:rPr>
                <w:rFonts w:hint="eastAsia"/>
                <w:lang w:val="en-US"/>
              </w:rPr>
              <w:t>16.66</w:t>
            </w:r>
          </w:p>
        </w:tc>
        <w:tc>
          <w:tcPr>
            <w:tcW w:w="1512" w:type="dxa"/>
          </w:tcPr>
          <w:p>
            <w:pPr>
              <w:spacing w:line="360" w:lineRule="exact"/>
              <w:jc w:val="center"/>
              <w:rPr>
                <w:lang w:val="en-US"/>
              </w:rPr>
            </w:pPr>
            <w:r>
              <w:rPr>
                <w:rFonts w:hint="eastAsia"/>
                <w:lang w:val="en-US"/>
              </w:rPr>
              <w:t>262.73</w:t>
            </w:r>
          </w:p>
        </w:tc>
        <w:tc>
          <w:tcPr>
            <w:tcW w:w="1512" w:type="dxa"/>
          </w:tcPr>
          <w:p>
            <w:pPr>
              <w:spacing w:line="360" w:lineRule="exact"/>
              <w:jc w:val="center"/>
              <w:rPr>
                <w:lang w:val="en-US"/>
              </w:rPr>
            </w:pPr>
            <w:r>
              <w:rPr>
                <w:rFonts w:hint="eastAsia"/>
                <w:lang w:val="en-US"/>
              </w:rPr>
              <w:t>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pPr>
              <w:spacing w:line="360" w:lineRule="exact"/>
              <w:jc w:val="center"/>
              <w:rPr>
                <w:b/>
                <w:bCs/>
                <w:lang w:val="en-US"/>
              </w:rPr>
            </w:pPr>
            <w:r>
              <w:rPr>
                <w:rFonts w:hint="eastAsia"/>
                <w:b/>
                <w:bCs/>
                <w:lang w:val="en-US"/>
              </w:rPr>
              <w:t>第25年</w:t>
            </w:r>
          </w:p>
        </w:tc>
        <w:tc>
          <w:tcPr>
            <w:tcW w:w="1512" w:type="dxa"/>
            <w:shd w:val="clear" w:color="auto" w:fill="F2F2F2"/>
          </w:tcPr>
          <w:p>
            <w:pPr>
              <w:spacing w:line="360" w:lineRule="exact"/>
              <w:jc w:val="center"/>
              <w:rPr>
                <w:lang w:val="en-US"/>
              </w:rPr>
            </w:pPr>
            <w:r>
              <w:rPr>
                <w:rFonts w:hint="eastAsia"/>
                <w:lang w:val="en-US"/>
              </w:rPr>
              <w:t>0.70%</w:t>
            </w:r>
          </w:p>
        </w:tc>
        <w:tc>
          <w:tcPr>
            <w:tcW w:w="1512" w:type="dxa"/>
            <w:shd w:val="clear" w:color="auto" w:fill="F2F2F2"/>
          </w:tcPr>
          <w:p>
            <w:pPr>
              <w:spacing w:line="360" w:lineRule="exact"/>
              <w:jc w:val="center"/>
              <w:rPr>
                <w:lang w:val="en-US"/>
              </w:rPr>
            </w:pPr>
            <w:r>
              <w:rPr>
                <w:rFonts w:hint="eastAsia"/>
                <w:lang w:val="en-US"/>
              </w:rPr>
              <w:t>154.79</w:t>
            </w:r>
          </w:p>
        </w:tc>
        <w:tc>
          <w:tcPr>
            <w:tcW w:w="1512" w:type="dxa"/>
            <w:shd w:val="clear" w:color="auto" w:fill="F2F2F2"/>
          </w:tcPr>
          <w:p>
            <w:pPr>
              <w:spacing w:line="360" w:lineRule="exact"/>
              <w:jc w:val="center"/>
              <w:rPr>
                <w:lang w:val="en-US"/>
              </w:rPr>
            </w:pPr>
            <w:r>
              <w:rPr>
                <w:rFonts w:hint="eastAsia"/>
                <w:lang w:val="en-US"/>
              </w:rPr>
              <w:t>16.54</w:t>
            </w:r>
          </w:p>
        </w:tc>
        <w:tc>
          <w:tcPr>
            <w:tcW w:w="1512" w:type="dxa"/>
            <w:shd w:val="clear" w:color="auto" w:fill="F2F2F2"/>
          </w:tcPr>
          <w:p>
            <w:pPr>
              <w:spacing w:line="360" w:lineRule="exact"/>
              <w:jc w:val="center"/>
              <w:rPr>
                <w:lang w:val="en-US"/>
              </w:rPr>
            </w:pPr>
            <w:r>
              <w:rPr>
                <w:rFonts w:hint="eastAsia"/>
                <w:lang w:val="en-US"/>
              </w:rPr>
              <w:t>278.28</w:t>
            </w:r>
          </w:p>
        </w:tc>
        <w:tc>
          <w:tcPr>
            <w:tcW w:w="1512" w:type="dxa"/>
            <w:shd w:val="clear" w:color="auto" w:fill="F2F2F2"/>
          </w:tcPr>
          <w:p>
            <w:pPr>
              <w:spacing w:line="360" w:lineRule="exact"/>
              <w:jc w:val="center"/>
              <w:rPr>
                <w:lang w:val="en-US"/>
              </w:rPr>
            </w:pPr>
            <w:r>
              <w:rPr>
                <w:rFonts w:hint="eastAsia"/>
                <w:lang w:val="en-US"/>
              </w:rPr>
              <w:t>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pPr>
              <w:spacing w:line="360" w:lineRule="exact"/>
              <w:jc w:val="center"/>
              <w:rPr>
                <w:b/>
                <w:bCs/>
                <w:color w:val="FFFFFF"/>
                <w:sz w:val="24"/>
                <w:szCs w:val="24"/>
                <w:lang w:val="en-US"/>
              </w:rPr>
            </w:pPr>
            <w:r>
              <w:rPr>
                <w:rFonts w:hint="eastAsia"/>
                <w:b/>
                <w:bCs/>
                <w:color w:val="FFFFFF"/>
                <w:sz w:val="24"/>
                <w:szCs w:val="24"/>
                <w:lang w:val="en-US"/>
              </w:rPr>
              <w:t>4215.41MWh</w:t>
            </w:r>
          </w:p>
        </w:tc>
        <w:tc>
          <w:tcPr>
            <w:tcW w:w="4536" w:type="dxa"/>
            <w:gridSpan w:val="3"/>
            <w:shd w:val="clear" w:color="auto" w:fill="E65100"/>
            <w:vAlign w:val="center"/>
          </w:tcPr>
          <w:p>
            <w:pPr>
              <w:spacing w:line="360" w:lineRule="exact"/>
              <w:jc w:val="center"/>
              <w:rPr>
                <w:b/>
                <w:bCs/>
                <w:sz w:val="24"/>
                <w:szCs w:val="24"/>
                <w:lang w:val="en-US"/>
              </w:rPr>
            </w:pPr>
            <w:r>
              <w:rPr>
                <w:rFonts w:hint="eastAsia"/>
                <w:b/>
                <w:bCs/>
                <w:color w:val="FFFFFF"/>
                <w:sz w:val="24"/>
                <w:szCs w:val="24"/>
                <w:lang w:val="en-US"/>
              </w:rPr>
              <w:t>450.10万元</w:t>
            </w:r>
          </w:p>
        </w:tc>
      </w:tr>
      <w:bookmarkEnd w:id="83"/>
    </w:tbl>
    <w:p>
      <w:pPr>
        <w:pStyle w:val="3"/>
        <w:rPr>
          <w:lang w:val="en-US"/>
        </w:rPr>
      </w:pPr>
    </w:p>
    <w:p>
      <w:pPr>
        <w:pStyle w:val="3"/>
        <w:jc w:val="center"/>
        <w:rPr>
          <w:lang w:val="en-US"/>
        </w:rPr>
      </w:pPr>
      <w:bookmarkStart w:id="84" w:name="收益平衡图"/>
      <w:bookmarkEnd w:id="84"/>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pPr>
              <w:spacing w:line="360" w:lineRule="exact"/>
            </w:pPr>
            <w:r>
              <w:rPr>
                <w:rFonts w:hint="eastAsia"/>
              </w:rPr>
              <w:t>上网</w:t>
            </w:r>
          </w:p>
        </w:tc>
        <w:tc>
          <w:tcPr>
            <w:tcW w:w="386" w:type="pct"/>
          </w:tcPr>
          <w:p>
            <w:pPr>
              <w:spacing w:line="360" w:lineRule="exact"/>
            </w:pPr>
            <w:r>
              <w:t>0.35</w:t>
            </w:r>
          </w:p>
        </w:tc>
        <w:tc>
          <w:tcPr>
            <w:tcW w:w="381" w:type="pct"/>
          </w:tcPr>
          <w:p>
            <w:pPr>
              <w:spacing w:line="360" w:lineRule="exact"/>
            </w:pPr>
            <w:r>
              <w:t>0.35</w:t>
            </w:r>
          </w:p>
        </w:tc>
        <w:tc>
          <w:tcPr>
            <w:tcW w:w="427"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2" w:type="pct"/>
          </w:tcPr>
          <w:p>
            <w:pPr>
              <w:spacing w:line="360" w:lineRule="exact"/>
            </w:pPr>
            <w: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pPr>
              <w:spacing w:line="360" w:lineRule="exact"/>
            </w:pPr>
            <w:r>
              <w:rPr>
                <w:rFonts w:hint="eastAsia"/>
              </w:rPr>
              <w:t>市网</w:t>
            </w:r>
          </w:p>
        </w:tc>
        <w:tc>
          <w:tcPr>
            <w:tcW w:w="386" w:type="pct"/>
            <w:shd w:val="clear" w:color="auto" w:fill="F2F2F2"/>
          </w:tcPr>
          <w:p>
            <w:pPr>
              <w:spacing w:line="360" w:lineRule="exact"/>
            </w:pPr>
            <w:r>
              <w:t>0.50</w:t>
            </w:r>
          </w:p>
        </w:tc>
        <w:tc>
          <w:tcPr>
            <w:tcW w:w="381" w:type="pct"/>
            <w:shd w:val="clear" w:color="auto" w:fill="F2F2F2"/>
          </w:tcPr>
          <w:p>
            <w:pPr>
              <w:spacing w:line="360" w:lineRule="exact"/>
            </w:pPr>
            <w:r>
              <w:t>0.90</w:t>
            </w:r>
          </w:p>
        </w:tc>
        <w:tc>
          <w:tcPr>
            <w:tcW w:w="427" w:type="pct"/>
            <w:shd w:val="clear" w:color="auto" w:fill="F2F2F2"/>
          </w:tcPr>
          <w:p>
            <w:pPr>
              <w:spacing w:line="360" w:lineRule="exact"/>
            </w:pPr>
            <w:r>
              <w:t>0.80</w:t>
            </w:r>
          </w:p>
        </w:tc>
        <w:tc>
          <w:tcPr>
            <w:tcW w:w="380" w:type="pct"/>
            <w:shd w:val="clear" w:color="auto" w:fill="F2F2F2"/>
          </w:tcPr>
          <w:p>
            <w:pPr>
              <w:spacing w:line="360" w:lineRule="exact"/>
            </w:pPr>
            <w:r>
              <w:t>0.90</w:t>
            </w:r>
          </w:p>
        </w:tc>
        <w:tc>
          <w:tcPr>
            <w:tcW w:w="380" w:type="pct"/>
            <w:shd w:val="clear" w:color="auto" w:fill="F2F2F2"/>
          </w:tcPr>
          <w:p>
            <w:pPr>
              <w:spacing w:line="360" w:lineRule="exact"/>
            </w:pPr>
            <w:r>
              <w:t>0.80</w:t>
            </w:r>
          </w:p>
        </w:tc>
        <w:tc>
          <w:tcPr>
            <w:tcW w:w="380" w:type="pct"/>
            <w:shd w:val="clear" w:color="auto" w:fill="F2F2F2"/>
          </w:tcPr>
          <w:p>
            <w:pPr>
              <w:spacing w:line="360" w:lineRule="exact"/>
            </w:pPr>
            <w:r>
              <w:t>0.90</w:t>
            </w:r>
          </w:p>
        </w:tc>
        <w:tc>
          <w:tcPr>
            <w:tcW w:w="380" w:type="pct"/>
            <w:shd w:val="clear" w:color="auto" w:fill="F2F2F2"/>
          </w:tcPr>
          <w:p>
            <w:pPr>
              <w:spacing w:line="360" w:lineRule="exact"/>
            </w:pPr>
            <w:r>
              <w:t>0.80</w:t>
            </w:r>
          </w:p>
        </w:tc>
        <w:tc>
          <w:tcPr>
            <w:tcW w:w="381" w:type="pct"/>
            <w:shd w:val="clear" w:color="auto" w:fill="F2F2F2"/>
          </w:tcPr>
          <w:p>
            <w:pPr>
              <w:spacing w:line="360" w:lineRule="exact"/>
            </w:pPr>
            <w:r>
              <w:t>0.90</w:t>
            </w:r>
          </w:p>
        </w:tc>
        <w:tc>
          <w:tcPr>
            <w:tcW w:w="381" w:type="pct"/>
            <w:shd w:val="clear" w:color="auto" w:fill="F2F2F2"/>
          </w:tcPr>
          <w:p>
            <w:pPr>
              <w:spacing w:line="360" w:lineRule="exact"/>
            </w:pPr>
            <w:r>
              <w:t>1.00</w:t>
            </w:r>
          </w:p>
        </w:tc>
        <w:tc>
          <w:tcPr>
            <w:tcW w:w="381" w:type="pct"/>
            <w:shd w:val="clear" w:color="auto" w:fill="F2F2F2"/>
          </w:tcPr>
          <w:p>
            <w:pPr>
              <w:spacing w:line="360" w:lineRule="exact"/>
            </w:pPr>
            <w:r>
              <w:t>1.20</w:t>
            </w:r>
          </w:p>
        </w:tc>
        <w:tc>
          <w:tcPr>
            <w:tcW w:w="381" w:type="pct"/>
            <w:shd w:val="clear" w:color="auto" w:fill="F2F2F2"/>
          </w:tcPr>
          <w:p>
            <w:pPr>
              <w:spacing w:line="360" w:lineRule="exact"/>
            </w:pPr>
            <w:r>
              <w:t>1.00</w:t>
            </w:r>
          </w:p>
        </w:tc>
        <w:tc>
          <w:tcPr>
            <w:tcW w:w="382" w:type="pct"/>
            <w:shd w:val="clear" w:color="auto" w:fill="F2F2F2"/>
          </w:tcPr>
          <w:p>
            <w:pPr>
              <w:spacing w:line="360" w:lineRule="exact"/>
            </w:pPr>
            <w: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pPr>
              <w:spacing w:line="360" w:lineRule="exact"/>
            </w:pPr>
            <w:r>
              <w:rPr>
                <w:rFonts w:hint="eastAsia"/>
              </w:rPr>
              <w:t>上网</w:t>
            </w:r>
          </w:p>
        </w:tc>
        <w:tc>
          <w:tcPr>
            <w:tcW w:w="386" w:type="pct"/>
          </w:tcPr>
          <w:p>
            <w:pPr>
              <w:spacing w:line="360" w:lineRule="exact"/>
            </w:pPr>
            <w:r>
              <w:t>0.35</w:t>
            </w:r>
          </w:p>
        </w:tc>
        <w:tc>
          <w:tcPr>
            <w:tcW w:w="381" w:type="pct"/>
          </w:tcPr>
          <w:p>
            <w:pPr>
              <w:spacing w:line="360" w:lineRule="exact"/>
            </w:pPr>
            <w:r>
              <w:t>0.35</w:t>
            </w:r>
          </w:p>
        </w:tc>
        <w:tc>
          <w:tcPr>
            <w:tcW w:w="427"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0"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1" w:type="pct"/>
          </w:tcPr>
          <w:p>
            <w:pPr>
              <w:spacing w:line="360" w:lineRule="exact"/>
            </w:pPr>
            <w:r>
              <w:t>0.35</w:t>
            </w:r>
          </w:p>
        </w:tc>
        <w:tc>
          <w:tcPr>
            <w:tcW w:w="382" w:type="pct"/>
          </w:tcPr>
          <w:p>
            <w:pPr>
              <w:spacing w:line="360" w:lineRule="exact"/>
            </w:pPr>
            <w: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pPr>
              <w:spacing w:line="360" w:lineRule="exact"/>
            </w:pPr>
            <w:r>
              <w:rPr>
                <w:rFonts w:hint="eastAsia"/>
              </w:rPr>
              <w:t>市网</w:t>
            </w:r>
          </w:p>
        </w:tc>
        <w:tc>
          <w:tcPr>
            <w:tcW w:w="386" w:type="pct"/>
            <w:shd w:val="clear" w:color="auto" w:fill="F2F2F2"/>
          </w:tcPr>
          <w:p>
            <w:pPr>
              <w:spacing w:line="360" w:lineRule="exact"/>
            </w:pPr>
            <w:r>
              <w:t>1.00</w:t>
            </w:r>
          </w:p>
        </w:tc>
        <w:tc>
          <w:tcPr>
            <w:tcW w:w="381" w:type="pct"/>
            <w:shd w:val="clear" w:color="auto" w:fill="F2F2F2"/>
          </w:tcPr>
          <w:p>
            <w:pPr>
              <w:spacing w:line="360" w:lineRule="exact"/>
            </w:pPr>
            <w:r>
              <w:t>1.20</w:t>
            </w:r>
          </w:p>
        </w:tc>
        <w:tc>
          <w:tcPr>
            <w:tcW w:w="427" w:type="pct"/>
            <w:shd w:val="clear" w:color="auto" w:fill="F2F2F2"/>
          </w:tcPr>
          <w:p>
            <w:pPr>
              <w:spacing w:line="360" w:lineRule="exact"/>
            </w:pPr>
            <w:r>
              <w:t>1.00</w:t>
            </w:r>
          </w:p>
        </w:tc>
        <w:tc>
          <w:tcPr>
            <w:tcW w:w="380" w:type="pct"/>
            <w:shd w:val="clear" w:color="auto" w:fill="F2F2F2"/>
          </w:tcPr>
          <w:p>
            <w:pPr>
              <w:spacing w:line="360" w:lineRule="exact"/>
            </w:pPr>
            <w:r>
              <w:t>1.20</w:t>
            </w:r>
          </w:p>
        </w:tc>
        <w:tc>
          <w:tcPr>
            <w:tcW w:w="380" w:type="pct"/>
            <w:shd w:val="clear" w:color="auto" w:fill="F2F2F2"/>
          </w:tcPr>
          <w:p>
            <w:pPr>
              <w:spacing w:line="360" w:lineRule="exact"/>
            </w:pPr>
            <w:r>
              <w:t>1.00</w:t>
            </w:r>
          </w:p>
        </w:tc>
        <w:tc>
          <w:tcPr>
            <w:tcW w:w="380" w:type="pct"/>
            <w:shd w:val="clear" w:color="auto" w:fill="F2F2F2"/>
          </w:tcPr>
          <w:p>
            <w:pPr>
              <w:spacing w:line="360" w:lineRule="exact"/>
            </w:pPr>
            <w:r>
              <w:t>1.20</w:t>
            </w:r>
          </w:p>
        </w:tc>
        <w:tc>
          <w:tcPr>
            <w:tcW w:w="380" w:type="pct"/>
            <w:shd w:val="clear" w:color="auto" w:fill="F2F2F2"/>
          </w:tcPr>
          <w:p>
            <w:pPr>
              <w:spacing w:line="360" w:lineRule="exact"/>
            </w:pPr>
            <w:r>
              <w:t>1.00</w:t>
            </w:r>
          </w:p>
        </w:tc>
        <w:tc>
          <w:tcPr>
            <w:tcW w:w="381" w:type="pct"/>
            <w:shd w:val="clear" w:color="auto" w:fill="F2F2F2"/>
          </w:tcPr>
          <w:p>
            <w:pPr>
              <w:spacing w:line="360" w:lineRule="exact"/>
            </w:pPr>
            <w:r>
              <w:t>1.20</w:t>
            </w:r>
          </w:p>
        </w:tc>
        <w:tc>
          <w:tcPr>
            <w:tcW w:w="381" w:type="pct"/>
            <w:shd w:val="clear" w:color="auto" w:fill="F2F2F2"/>
          </w:tcPr>
          <w:p>
            <w:pPr>
              <w:spacing w:line="360" w:lineRule="exact"/>
            </w:pPr>
            <w:r>
              <w:t>0.50</w:t>
            </w:r>
          </w:p>
        </w:tc>
        <w:tc>
          <w:tcPr>
            <w:tcW w:w="381" w:type="pct"/>
            <w:shd w:val="clear" w:color="auto" w:fill="F2F2F2"/>
          </w:tcPr>
          <w:p>
            <w:pPr>
              <w:spacing w:line="360" w:lineRule="exact"/>
            </w:pPr>
            <w:r>
              <w:t>0.60</w:t>
            </w:r>
          </w:p>
        </w:tc>
        <w:tc>
          <w:tcPr>
            <w:tcW w:w="381" w:type="pct"/>
            <w:shd w:val="clear" w:color="auto" w:fill="F2F2F2"/>
          </w:tcPr>
          <w:p>
            <w:pPr>
              <w:spacing w:line="360" w:lineRule="exact"/>
            </w:pPr>
            <w:r>
              <w:t>0.50</w:t>
            </w:r>
          </w:p>
        </w:tc>
        <w:tc>
          <w:tcPr>
            <w:tcW w:w="382" w:type="pct"/>
            <w:shd w:val="clear" w:color="auto" w:fill="F2F2F2"/>
          </w:tcPr>
          <w:p>
            <w:pPr>
              <w:spacing w:line="360" w:lineRule="exact"/>
            </w:pPr>
            <w:r>
              <w:t>0.60</w:t>
            </w:r>
          </w:p>
        </w:tc>
      </w:tr>
      <w:bookmarkEnd w:id="85"/>
    </w:tbl>
    <w:p>
      <w:pPr>
        <w:rPr>
          <w:rFonts w:ascii="黑体" w:hAnsi="黑体" w:eastAsia="黑体" w:cs="宋体"/>
          <w:bCs/>
          <w:color w:val="000000"/>
          <w:szCs w:val="18"/>
          <w:lang w:val="en-US"/>
        </w:rPr>
      </w:pPr>
    </w:p>
    <w:p>
      <w:pPr>
        <w:pStyle w:val="2"/>
      </w:pPr>
      <w:bookmarkStart w:id="86" w:name="_Toc27686"/>
      <w:r>
        <w:rPr>
          <w:rFonts w:hint="eastAsia"/>
        </w:rPr>
        <w:t>减排效益分析</w:t>
      </w:r>
      <w:bookmarkEnd w:id="86"/>
    </w:p>
    <w:p>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tblPrEx>
          <w:tblCellMar>
            <w:top w:w="0" w:type="dxa"/>
            <w:left w:w="108" w:type="dxa"/>
            <w:bottom w:w="0" w:type="dxa"/>
            <w:right w:w="108" w:type="dxa"/>
          </w:tblCellMar>
        </w:tblPrEx>
        <w:trPr>
          <w:trHeight w:val="490" w:hRule="atLeast"/>
        </w:trPr>
        <w:tc>
          <w:tcPr>
            <w:tcW w:w="1071" w:type="dxa"/>
            <w:shd w:val="clear" w:color="auto" w:fill="ED7D31" w:themeFill="accent2"/>
          </w:tcPr>
          <w:p>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pPr>
              <w:spacing w:line="360" w:lineRule="exact"/>
              <w:jc w:val="center"/>
              <w:rPr>
                <w:b/>
                <w:bCs/>
                <w:color w:val="FFFFFF"/>
                <w:szCs w:val="21"/>
              </w:rPr>
            </w:pPr>
            <w:r>
              <w:rPr>
                <w:b/>
                <w:bCs/>
                <w:color w:val="FFFFFF"/>
                <w:szCs w:val="21"/>
              </w:rPr>
              <w:t>25年</w:t>
            </w:r>
          </w:p>
        </w:tc>
        <w:tc>
          <w:tcPr>
            <w:tcW w:w="1534" w:type="dxa"/>
            <w:shd w:val="clear" w:color="auto" w:fill="ED7D31" w:themeFill="accent2"/>
          </w:tcPr>
          <w:p>
            <w:pPr>
              <w:spacing w:line="360" w:lineRule="exact"/>
              <w:jc w:val="center"/>
              <w:rPr>
                <w:b/>
                <w:bCs/>
                <w:color w:val="FFFFFF"/>
                <w:szCs w:val="21"/>
              </w:rPr>
            </w:pPr>
            <w:r>
              <w:rPr>
                <w:rFonts w:hint="eastAsia"/>
                <w:b/>
                <w:bCs/>
                <w:color w:val="FFFFFF"/>
                <w:szCs w:val="21"/>
              </w:rPr>
              <w:t>单位</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发电量</w:t>
            </w:r>
          </w:p>
        </w:tc>
        <w:tc>
          <w:tcPr>
            <w:tcW w:w="1709"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w:t>
            </w:r>
          </w:p>
        </w:tc>
        <w:tc>
          <w:tcPr>
            <w:tcW w:w="1534" w:type="dxa"/>
            <w:shd w:val="clear" w:color="auto" w:fill="FFFFFF" w:themeFill="background1"/>
          </w:tcPr>
          <w:p>
            <w:pPr>
              <w:spacing w:line="360" w:lineRule="exact"/>
              <w:jc w:val="center"/>
              <w:rPr>
                <w:bCs/>
                <w:lang w:val="en-US"/>
              </w:rPr>
            </w:pPr>
            <w:r>
              <w:rPr>
                <w:bCs/>
                <w:lang w:val="en-US"/>
              </w:rPr>
              <w:t>168.62</w:t>
            </w:r>
          </w:p>
        </w:tc>
        <w:tc>
          <w:tcPr>
            <w:tcW w:w="1534" w:type="dxa"/>
            <w:shd w:val="clear" w:color="auto" w:fill="FFFFFF" w:themeFill="background1"/>
          </w:tcPr>
          <w:p>
            <w:pPr>
              <w:spacing w:line="360" w:lineRule="exact"/>
              <w:jc w:val="center"/>
              <w:rPr>
                <w:bCs/>
                <w:lang w:val="en-US"/>
              </w:rPr>
            </w:pPr>
            <w:r>
              <w:rPr>
                <w:bCs/>
                <w:lang w:val="en-US"/>
              </w:rPr>
              <w:t>4215.41</w:t>
            </w:r>
          </w:p>
        </w:tc>
        <w:tc>
          <w:tcPr>
            <w:tcW w:w="1534" w:type="dxa"/>
            <w:shd w:val="clear" w:color="auto" w:fill="FFFFFF" w:themeFill="background1"/>
          </w:tcPr>
          <w:p>
            <w:pPr>
              <w:spacing w:line="360" w:lineRule="exact"/>
              <w:jc w:val="center"/>
              <w:rPr>
                <w:bCs/>
                <w:lang w:val="en-US"/>
              </w:rPr>
            </w:pPr>
            <w:r>
              <w:rPr>
                <w:rFonts w:hint="eastAsia"/>
                <w:bCs/>
                <w:lang w:val="en-US"/>
              </w:rPr>
              <w:t>M</w:t>
            </w:r>
            <w:r>
              <w:rPr>
                <w:bCs/>
                <w:lang w:val="en-US"/>
              </w:rPr>
              <w:t>W</w:t>
            </w:r>
            <w:r>
              <w:rPr>
                <w:rFonts w:hint="eastAsia"/>
                <w:bCs/>
                <w:lang w:val="en-US"/>
              </w:rPr>
              <w:t>h</w:t>
            </w:r>
          </w:p>
        </w:tc>
      </w:tr>
      <w:tr>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55.64</w:t>
            </w:r>
          </w:p>
        </w:tc>
        <w:tc>
          <w:tcPr>
            <w:tcW w:w="1534" w:type="dxa"/>
            <w:shd w:val="clear" w:color="auto" w:fill="F1F1F1" w:themeFill="background1" w:themeFillShade="F2"/>
          </w:tcPr>
          <w:p>
            <w:pPr>
              <w:spacing w:line="360" w:lineRule="exact"/>
              <w:jc w:val="center"/>
              <w:rPr>
                <w:bCs/>
                <w:lang w:val="en-US"/>
              </w:rPr>
            </w:pPr>
            <w:r>
              <w:rPr>
                <w:bCs/>
                <w:lang w:val="en-US"/>
              </w:rPr>
              <w:t>1391.08</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44" w:hRule="atLeast"/>
        </w:trPr>
        <w:tc>
          <w:tcPr>
            <w:tcW w:w="1071" w:type="dxa"/>
            <w:shd w:val="clear" w:color="auto" w:fill="FFFFFF" w:themeFill="background1"/>
          </w:tcPr>
          <w:p>
            <w:pPr>
              <w:spacing w:line="360" w:lineRule="exact"/>
              <w:jc w:val="center"/>
              <w:rPr>
                <w:b/>
                <w:lang w:val="en-US"/>
              </w:rPr>
            </w:pPr>
            <w:r>
              <w:rPr>
                <w:rFonts w:hint="eastAsia"/>
                <w:b/>
                <w:lang w:val="en-US"/>
              </w:rPr>
              <w:t>电力烟尘</w:t>
            </w:r>
          </w:p>
        </w:tc>
        <w:tc>
          <w:tcPr>
            <w:tcW w:w="1709" w:type="dxa"/>
            <w:shd w:val="clear" w:color="auto" w:fill="FFFFFF" w:themeFill="background1"/>
          </w:tcPr>
          <w:p>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pPr>
              <w:spacing w:line="360" w:lineRule="exact"/>
              <w:jc w:val="center"/>
              <w:rPr>
                <w:bCs/>
                <w:lang w:val="en-US"/>
              </w:rPr>
            </w:pPr>
            <w:r>
              <w:rPr>
                <w:bCs/>
                <w:lang w:val="en-US"/>
              </w:rPr>
              <w:t>g/kWh</w:t>
            </w:r>
          </w:p>
        </w:tc>
        <w:tc>
          <w:tcPr>
            <w:tcW w:w="1534" w:type="dxa"/>
            <w:shd w:val="clear" w:color="auto" w:fill="FFFFFF" w:themeFill="background1"/>
          </w:tcPr>
          <w:p>
            <w:pPr>
              <w:spacing w:line="360" w:lineRule="exact"/>
              <w:jc w:val="center"/>
              <w:rPr>
                <w:bCs/>
                <w:lang w:val="en-US"/>
              </w:rPr>
            </w:pPr>
            <w:r>
              <w:rPr>
                <w:bCs/>
                <w:lang w:val="en-US"/>
              </w:rPr>
              <w:t>2.87</w:t>
            </w:r>
          </w:p>
        </w:tc>
        <w:tc>
          <w:tcPr>
            <w:tcW w:w="1534" w:type="dxa"/>
            <w:shd w:val="clear" w:color="auto" w:fill="FFFFFF" w:themeFill="background1"/>
          </w:tcPr>
          <w:p>
            <w:pPr>
              <w:spacing w:line="360" w:lineRule="exact"/>
              <w:jc w:val="center"/>
              <w:rPr>
                <w:bCs/>
                <w:lang w:val="en-US"/>
              </w:rPr>
            </w:pPr>
            <w:r>
              <w:rPr>
                <w:bCs/>
                <w:lang w:val="en-US"/>
              </w:rPr>
              <w:t>71.66</w:t>
            </w:r>
          </w:p>
        </w:tc>
        <w:tc>
          <w:tcPr>
            <w:tcW w:w="1534" w:type="dxa"/>
            <w:shd w:val="clear" w:color="auto" w:fill="FFFFFF" w:themeFill="background1"/>
          </w:tcPr>
          <w:p>
            <w:pPr>
              <w:spacing w:line="360" w:lineRule="exact"/>
              <w:jc w:val="center"/>
              <w:rPr>
                <w:bCs/>
                <w:lang w:val="en-US"/>
              </w:rPr>
            </w:pPr>
            <w:r>
              <w:rPr>
                <w:rFonts w:hint="eastAsia"/>
                <w:bCs/>
                <w:lang w:val="en-US"/>
              </w:rPr>
              <w:t>千克</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pPr>
              <w:spacing w:line="360" w:lineRule="exact"/>
              <w:jc w:val="center"/>
              <w:rPr>
                <w:bCs/>
                <w:lang w:val="en-US"/>
              </w:rPr>
            </w:pPr>
            <w:r>
              <w:rPr>
                <w:bCs/>
                <w:lang w:val="en-US"/>
              </w:rPr>
              <w:t>kg/kWh</w:t>
            </w:r>
          </w:p>
        </w:tc>
        <w:tc>
          <w:tcPr>
            <w:tcW w:w="1534" w:type="dxa"/>
            <w:shd w:val="clear" w:color="auto" w:fill="F1F1F1" w:themeFill="background1" w:themeFillShade="F2"/>
          </w:tcPr>
          <w:p>
            <w:pPr>
              <w:spacing w:line="360" w:lineRule="exact"/>
              <w:jc w:val="center"/>
              <w:rPr>
                <w:bCs/>
                <w:lang w:val="en-US"/>
              </w:rPr>
            </w:pPr>
            <w:r>
              <w:rPr>
                <w:bCs/>
                <w:lang w:val="en-US"/>
              </w:rPr>
              <w:t>91.22</w:t>
            </w:r>
          </w:p>
        </w:tc>
        <w:tc>
          <w:tcPr>
            <w:tcW w:w="1534" w:type="dxa"/>
            <w:shd w:val="clear" w:color="auto" w:fill="F1F1F1" w:themeFill="background1" w:themeFillShade="F2"/>
          </w:tcPr>
          <w:p>
            <w:pPr>
              <w:spacing w:line="360" w:lineRule="exact"/>
              <w:jc w:val="center"/>
              <w:rPr>
                <w:bCs/>
                <w:lang w:val="en-US"/>
              </w:rPr>
            </w:pPr>
            <w:r>
              <w:rPr>
                <w:bCs/>
                <w:lang w:val="en-US"/>
              </w:rPr>
              <w:t>2280.54</w:t>
            </w:r>
          </w:p>
        </w:tc>
        <w:tc>
          <w:tcPr>
            <w:tcW w:w="1534" w:type="dxa"/>
            <w:shd w:val="clear" w:color="auto" w:fill="F1F1F1" w:themeFill="background1" w:themeFillShade="F2"/>
          </w:tcPr>
          <w:p>
            <w:pPr>
              <w:spacing w:line="360" w:lineRule="exact"/>
              <w:jc w:val="center"/>
              <w:rPr>
                <w:bCs/>
                <w:lang w:val="en-US"/>
              </w:rPr>
            </w:pPr>
            <w:r>
              <w:rPr>
                <w:bCs/>
                <w:lang w:val="en-US"/>
              </w:rPr>
              <w:t>吨</w:t>
            </w:r>
          </w:p>
        </w:tc>
      </w:tr>
      <w:tr>
        <w:tblPrEx>
          <w:tblCellMar>
            <w:top w:w="0" w:type="dxa"/>
            <w:left w:w="108" w:type="dxa"/>
            <w:bottom w:w="0" w:type="dxa"/>
            <w:right w:w="108" w:type="dxa"/>
          </w:tblCellMar>
        </w:tblPrEx>
        <w:trPr>
          <w:trHeight w:val="367" w:hRule="atLeast"/>
        </w:trPr>
        <w:tc>
          <w:tcPr>
            <w:tcW w:w="1071" w:type="dxa"/>
            <w:shd w:val="clear" w:color="auto" w:fill="FFFFFF" w:themeFill="background1"/>
          </w:tcPr>
          <w:p>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pPr>
              <w:spacing w:line="360" w:lineRule="exact"/>
              <w:jc w:val="center"/>
              <w:rPr>
                <w:bCs/>
                <w:lang w:val="en-US"/>
              </w:rPr>
            </w:pPr>
            <w:r>
              <w:rPr>
                <w:bCs/>
                <w:lang w:val="en-US"/>
              </w:rPr>
              <w:t>g/kWh</w:t>
            </w:r>
          </w:p>
        </w:tc>
        <w:tc>
          <w:tcPr>
            <w:tcW w:w="1534" w:type="dxa"/>
            <w:shd w:val="clear" w:color="auto" w:fill="FFFFFF" w:themeFill="background1"/>
          </w:tcPr>
          <w:p>
            <w:pPr>
              <w:spacing w:line="360" w:lineRule="exact"/>
              <w:jc w:val="center"/>
              <w:rPr>
                <w:bCs/>
                <w:lang w:val="en-US"/>
              </w:rPr>
            </w:pPr>
            <w:r>
              <w:rPr>
                <w:bCs/>
                <w:lang w:val="en-US"/>
              </w:rPr>
              <w:t>14.00</w:t>
            </w:r>
          </w:p>
        </w:tc>
        <w:tc>
          <w:tcPr>
            <w:tcW w:w="1534" w:type="dxa"/>
            <w:shd w:val="clear" w:color="auto" w:fill="FFFFFF" w:themeFill="background1"/>
          </w:tcPr>
          <w:p>
            <w:pPr>
              <w:spacing w:line="360" w:lineRule="exact"/>
              <w:jc w:val="center"/>
              <w:rPr>
                <w:bCs/>
                <w:lang w:val="en-US"/>
              </w:rPr>
            </w:pPr>
            <w:r>
              <w:rPr>
                <w:bCs/>
                <w:lang w:val="en-US"/>
              </w:rPr>
              <w:t>349.88</w:t>
            </w:r>
          </w:p>
        </w:tc>
        <w:tc>
          <w:tcPr>
            <w:tcW w:w="1534" w:type="dxa"/>
            <w:shd w:val="clear" w:color="auto" w:fill="FFFFFF" w:themeFill="background1"/>
          </w:tcPr>
          <w:p>
            <w:pPr>
              <w:spacing w:line="360" w:lineRule="exact"/>
              <w:jc w:val="center"/>
              <w:rPr>
                <w:bCs/>
                <w:lang w:val="en-US"/>
              </w:rPr>
            </w:pPr>
            <w:r>
              <w:rPr>
                <w:rFonts w:hint="eastAsia"/>
                <w:bCs/>
                <w:lang w:val="en-US"/>
              </w:rPr>
              <w:t>千克</w:t>
            </w:r>
          </w:p>
        </w:tc>
      </w:tr>
      <w:tr>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pPr>
              <w:spacing w:line="360" w:lineRule="exact"/>
              <w:jc w:val="center"/>
              <w:rPr>
                <w:bCs/>
                <w:lang w:val="en-US"/>
              </w:rPr>
            </w:pPr>
            <w:r>
              <w:rPr>
                <w:bCs/>
                <w:lang w:val="en-US"/>
              </w:rPr>
              <w:t>g/kWh</w:t>
            </w:r>
          </w:p>
        </w:tc>
        <w:tc>
          <w:tcPr>
            <w:tcW w:w="1534" w:type="dxa"/>
            <w:shd w:val="clear" w:color="auto" w:fill="F1F1F1" w:themeFill="background1" w:themeFillShade="F2"/>
          </w:tcPr>
          <w:p>
            <w:pPr>
              <w:spacing w:line="360" w:lineRule="exact"/>
              <w:jc w:val="center"/>
              <w:rPr>
                <w:bCs/>
                <w:lang w:val="en-US"/>
              </w:rPr>
            </w:pPr>
            <w:r>
              <w:rPr>
                <w:bCs/>
                <w:lang w:val="en-US"/>
              </w:rPr>
              <w:t>22.43</w:t>
            </w:r>
          </w:p>
        </w:tc>
        <w:tc>
          <w:tcPr>
            <w:tcW w:w="1534" w:type="dxa"/>
            <w:shd w:val="clear" w:color="auto" w:fill="F1F1F1" w:themeFill="background1" w:themeFillShade="F2"/>
          </w:tcPr>
          <w:p>
            <w:pPr>
              <w:spacing w:line="360" w:lineRule="exact"/>
              <w:jc w:val="center"/>
              <w:rPr>
                <w:bCs/>
                <w:lang w:val="en-US"/>
              </w:rPr>
            </w:pPr>
            <w:r>
              <w:rPr>
                <w:bCs/>
                <w:lang w:val="en-US"/>
              </w:rPr>
              <w:t>560.65</w:t>
            </w:r>
          </w:p>
        </w:tc>
        <w:tc>
          <w:tcPr>
            <w:tcW w:w="1534" w:type="dxa"/>
            <w:shd w:val="clear" w:color="auto" w:fill="F1F1F1" w:themeFill="background1" w:themeFillShade="F2"/>
          </w:tcPr>
          <w:p>
            <w:pPr>
              <w:spacing w:line="360" w:lineRule="exact"/>
              <w:jc w:val="center"/>
              <w:rPr>
                <w:bCs/>
                <w:lang w:val="en-US"/>
              </w:rPr>
            </w:pPr>
            <w:r>
              <w:rPr>
                <w:rFonts w:hint="eastAsia"/>
                <w:bCs/>
                <w:lang w:val="en-US"/>
              </w:rPr>
              <w:t>千克</w:t>
            </w:r>
          </w:p>
        </w:tc>
      </w:tr>
      <w:bookmarkEnd w:id="88"/>
    </w:tbl>
    <w:p>
      <w:pPr>
        <w:pStyle w:val="3"/>
        <w:rPr>
          <w:lang w:val="en-US"/>
        </w:rPr>
      </w:pPr>
    </w:p>
    <w:p>
      <w:pPr>
        <w:pStyle w:val="2"/>
        <w:rPr>
          <w:sz w:val="24"/>
          <w:szCs w:val="21"/>
        </w:rPr>
      </w:pPr>
      <w:bookmarkStart w:id="89" w:name="_Toc3655"/>
      <w:r>
        <w:rPr>
          <w:rFonts w:hint="eastAsia"/>
        </w:rPr>
        <w:t>综述</w:t>
      </w:r>
      <w:bookmarkEnd w:id="89"/>
    </w:p>
    <w:p>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198.82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83.0%</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183.2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4215.4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171.82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83.51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30.0%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27.68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0.99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278.28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7.8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12.46%</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94.89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0.408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2280.5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该项目具有良好的经济效益和环境效益。</w:t>
      </w:r>
      <w:bookmarkEnd w:id="105"/>
    </w:p>
    <w:p>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pPr>
        <w:pStyle w:val="2"/>
        <w:numPr>
          <w:ilvl w:val="0"/>
          <w:numId w:val="0"/>
        </w:numPr>
        <w:ind w:left="420"/>
      </w:pPr>
      <w:bookmarkStart w:id="106" w:name="_Toc14818"/>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组件在标准测试条件下提供的功率（</w:t>
            </w:r>
            <w:r>
              <w:rPr>
                <w:color w:val="7F7F7F" w:themeColor="background1" w:themeShade="80"/>
                <w:sz w:val="18"/>
                <w:szCs w:val="18"/>
                <w:lang w:val="en-US"/>
              </w:rPr>
              <w:t>Wp为单位）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装机容量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光伏发电系统采用的光伏组件的标称功率之和，单位是峰瓦（Wp）</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pPr>
              <w:rPr>
                <w:color w:val="7F7F7F" w:themeColor="background1" w:themeShade="80"/>
                <w:sz w:val="18"/>
                <w:szCs w:val="18"/>
                <w:lang w:val="en-US"/>
              </w:rPr>
            </w:pPr>
            <w:r>
              <w:rPr>
                <w:rFonts w:hint="eastAsia"/>
                <w:color w:val="7F7F7F" w:themeColor="background1" w:themeShade="80"/>
                <w:sz w:val="18"/>
                <w:szCs w:val="18"/>
                <w:lang w:val="en-US"/>
              </w:rPr>
              <w:t>太阳直接照射地面的时数，地面受到太阳直接辐射辐照度大于等于120</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的累计时间，以小时为单位。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峰值日照时数</w:t>
            </w:r>
          </w:p>
        </w:tc>
        <w:tc>
          <w:tcPr>
            <w:tcW w:w="6508" w:type="dxa"/>
          </w:tcPr>
          <w:p>
            <w:pPr>
              <w:rPr>
                <w:color w:val="7F7F7F" w:themeColor="background1" w:themeShade="80"/>
                <w:sz w:val="18"/>
                <w:szCs w:val="18"/>
                <w:lang w:val="en-US"/>
              </w:rPr>
            </w:pPr>
            <w:r>
              <w:rPr>
                <w:rFonts w:hint="eastAsia"/>
                <w:color w:val="7F7F7F" w:themeColor="background1" w:themeShade="80"/>
                <w:sz w:val="18"/>
                <w:szCs w:val="18"/>
                <w:lang w:val="en-US"/>
              </w:rPr>
              <w:t>一段时间内辐照度积分总量相当于辐照度1k</w:t>
            </w:r>
            <w:r>
              <w:rPr>
                <w:color w:val="7F7F7F" w:themeColor="background1" w:themeShade="80"/>
                <w:sz w:val="18"/>
                <w:szCs w:val="18"/>
                <w:lang w:val="en-US"/>
              </w:rPr>
              <w:t>W</w:t>
            </w:r>
            <w:r>
              <w:rPr>
                <w:rFonts w:hint="eastAsia"/>
                <w:color w:val="7F7F7F" w:themeColor="background1" w:themeShade="80"/>
                <w:sz w:val="18"/>
                <w:szCs w:val="18"/>
                <w:lang w:val="en-US"/>
              </w:rPr>
              <w:t>/m</w:t>
            </w:r>
            <w:r>
              <w:rPr>
                <w:rFonts w:hint="eastAsia"/>
                <w:color w:val="7F7F7F" w:themeColor="background1" w:themeShade="80"/>
                <w:sz w:val="18"/>
                <w:szCs w:val="18"/>
                <w:vertAlign w:val="superscript"/>
                <w:lang w:val="en-US"/>
              </w:rPr>
              <w:t>2</w:t>
            </w:r>
            <w:r>
              <w:rPr>
                <w:rFonts w:hint="eastAsia"/>
                <w:color w:val="7F7F7F" w:themeColor="background1" w:themeShade="80"/>
                <w:sz w:val="18"/>
                <w:szCs w:val="18"/>
                <w:lang w:val="en-US"/>
              </w:rPr>
              <w:t>的光源所持续照射的时间，以小时为单位。</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在规定的工作条件下输出功率与输入功率之比。例如一台逆变器输入了</w:t>
            </w:r>
            <w:r>
              <w:rPr>
                <w:color w:val="7F7F7F" w:themeColor="background1" w:themeShade="80"/>
                <w:sz w:val="18"/>
                <w:szCs w:val="18"/>
                <w:lang w:val="en-US"/>
              </w:rPr>
              <w:t>1000W的直流电，输出了900W的交流电流，那样它的效率便是90％。</w:t>
            </w:r>
            <w:r>
              <w:rPr>
                <w:rFonts w:hint="eastAsia"/>
                <w:color w:val="7F7F7F" w:themeColor="background1" w:themeShade="80"/>
                <w:sz w:val="18"/>
                <w:szCs w:val="18"/>
                <w:lang w:val="en-US"/>
              </w:rPr>
              <w:t>最大效率是指逆变器在实验室环境下</w:t>
            </w:r>
            <w:r>
              <w:rPr>
                <w:color w:val="7F7F7F" w:themeColor="background1" w:themeShade="80"/>
                <w:sz w:val="18"/>
                <w:szCs w:val="18"/>
                <w:lang w:val="en-US"/>
              </w:rPr>
              <w:t>，测得的效率最高值。</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MPPT数量</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最大功率点跟踪</w:t>
            </w:r>
            <w:r>
              <w:rPr>
                <w:color w:val="7F7F7F" w:themeColor="background1" w:themeShade="80"/>
                <w:sz w:val="18"/>
                <w:szCs w:val="18"/>
                <w:lang w:val="en-US"/>
              </w:rPr>
              <w:t>（Maximum Power Point Tracking，简称MPPT）根据外界不同的环境温度、光照强度等特性来调节光伏阵列的输出功率，使得光伏阵列始终输出最大功率。</w:t>
            </w:r>
          </w:p>
          <w:p>
            <w:pPr>
              <w:pStyle w:val="3"/>
              <w:rPr>
                <w:color w:val="7F7F7F" w:themeColor="background1" w:themeShade="80"/>
                <w:sz w:val="18"/>
                <w:szCs w:val="18"/>
                <w:lang w:val="en-US"/>
              </w:rPr>
            </w:pPr>
            <w:r>
              <w:rPr>
                <w:rFonts w:hint="eastAsia"/>
                <w:color w:val="7F7F7F" w:themeColor="background1" w:themeShade="80"/>
                <w:sz w:val="18"/>
                <w:szCs w:val="18"/>
                <w:lang w:val="en-US"/>
              </w:rPr>
              <w:t>通过增加</w:t>
            </w:r>
            <w:r>
              <w:rPr>
                <w:color w:val="7F7F7F" w:themeColor="background1" w:themeShade="80"/>
                <w:sz w:val="18"/>
                <w:szCs w:val="18"/>
                <w:lang w:val="en-US"/>
              </w:rPr>
              <w:t>MPPT数量，对光伏阵列进行并联解耦甚至串联解耦，一定程度上可以解决组件失配导致的发电量降低。</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光伏方阵到逆变器。应</w:t>
            </w:r>
            <w:r>
              <w:rPr>
                <w:color w:val="7F7F7F" w:themeColor="background1" w:themeShade="80"/>
                <w:sz w:val="18"/>
                <w:szCs w:val="18"/>
                <w:lang w:val="en-US"/>
              </w:rPr>
              <w:t>尽量减小这种损耗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光伏组件表面污染率</w:t>
            </w:r>
          </w:p>
        </w:tc>
        <w:tc>
          <w:tcPr>
            <w:tcW w:w="6508" w:type="dxa"/>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光伏组件表面由于受到灰尘或者其他污垢蒙蔽而产生的遮光影响。取值与环境清洁度和组件清洗方案有关。</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pPr>
              <w:pStyle w:val="3"/>
              <w:rPr>
                <w:b/>
                <w:bCs/>
                <w:color w:val="7F7F7F" w:themeColor="background1" w:themeShade="80"/>
                <w:sz w:val="18"/>
                <w:szCs w:val="18"/>
                <w:lang w:val="en-US"/>
              </w:rPr>
            </w:pPr>
            <w:r>
              <w:rPr>
                <w:rFonts w:hint="eastAsia"/>
                <w:b/>
                <w:bCs/>
                <w:color w:val="7F7F7F"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pPr>
              <w:pStyle w:val="3"/>
              <w:rPr>
                <w:b/>
                <w:bCs/>
                <w:color w:val="7F7F7F" w:themeColor="background1" w:themeShade="80"/>
                <w:sz w:val="18"/>
                <w:szCs w:val="18"/>
                <w:lang w:val="en-US"/>
              </w:rPr>
            </w:pPr>
            <w:r>
              <w:rPr>
                <w:rFonts w:hint="eastAsia" w:cs="宋体"/>
                <w:b/>
                <w:bCs/>
                <w:color w:val="7F7F7F" w:themeColor="background1" w:themeShade="80"/>
                <w:sz w:val="18"/>
                <w:szCs w:val="18"/>
              </w:rPr>
              <w:t>温度修正系数</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光伏组件工作温度对其输出功率具有很大的影响，高工作温度会导致功率损耗。</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组件成本（万元）</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EPC平均单价(元/W)</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系统单位成本（元/ W）</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年运维成本（万元）</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贴现率</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度电成本（元 / 度）</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静态回收期 (年)</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NPV (万元)</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PrEx>
        <w:tc>
          <w:tcPr>
            <w:tcW w:w="2126" w:type="dxa"/>
            <w:tcBorders>
              <w:top w:val="single" w:color="auto" w:sz="4" w:space="0"/>
              <w:bottom w:val="single" w:color="auto" w:sz="4" w:space="0"/>
            </w:tcBorders>
          </w:tcPr>
          <w:p>
            <w:pPr>
              <w:pStyle w:val="3"/>
              <w:rPr>
                <w:rFonts w:cs="宋体"/>
                <w:b w:val="0"/>
                <w:bCs w:val="0"/>
                <w:color w:val="7F7F7F" w:themeColor="background1" w:themeShade="80"/>
                <w:sz w:val="18"/>
                <w:szCs w:val="18"/>
              </w:rPr>
            </w:pPr>
            <w:r>
              <w:rPr>
                <w:rFonts w:hint="eastAsia" w:cs="宋体"/>
                <w:b/>
                <w:bCs/>
                <w:color w:val="7F7F7F" w:themeColor="background1" w:themeShade="80"/>
                <w:sz w:val="18"/>
                <w:szCs w:val="18"/>
              </w:rPr>
              <w:t>IRR</w:t>
            </w:r>
          </w:p>
        </w:tc>
        <w:tc>
          <w:tcPr>
            <w:tcW w:w="6508" w:type="dxa"/>
            <w:tcBorders>
              <w:top w:val="single" w:color="auto" w:sz="4" w:space="0"/>
              <w:bottom w:val="single" w:color="auto" w:sz="4" w:space="0"/>
            </w:tcBorders>
          </w:tcPr>
          <w:p>
            <w:pPr>
              <w:pStyle w:val="3"/>
              <w:rPr>
                <w:color w:val="7F7F7F" w:themeColor="background1" w:themeShade="80"/>
                <w:sz w:val="18"/>
                <w:szCs w:val="18"/>
                <w:lang w:val="en-US"/>
              </w:rPr>
            </w:pPr>
            <w:r>
              <w:rPr>
                <w:rFonts w:hint="eastAsia"/>
                <w:color w:val="7F7F7F"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pPr>
        <w:pStyle w:val="3"/>
        <w:ind w:firstLine="480"/>
        <w:rPr>
          <w:lang w:val="en-US"/>
        </w:rPr>
      </w:pPr>
      <w:r>
        <w:rPr>
          <w:rFonts w:hint="eastAsia"/>
          <w:lang w:val="en-US"/>
        </w:rPr>
        <w:t xml:space="preserve"> </w:t>
      </w:r>
      <w:r>
        <w:rPr>
          <w:lang w:val="en-US"/>
        </w:rPr>
        <w:t xml:space="preserve">    </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1C7F0EAD"/>
    <w:multiLevelType w:val="singleLevel"/>
    <w:tmpl w:val="1C7F0EAD"/>
    <w:lvl w:ilvl="0" w:tentative="0">
      <w:start w:val="2"/>
      <w:numFmt w:val="upperLetter"/>
      <w:suff w:val="space"/>
      <w:lvlText w:val="%1."/>
      <w:lvlJc w:val="left"/>
    </w:lvl>
  </w:abstractNum>
  <w:abstractNum w:abstractNumId="4">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284F274B"/>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274932A3"/>
    <w:rsid w:val="284F274B"/>
    <w:rsid w:val="2B142166"/>
    <w:rsid w:val="34955A85"/>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png"/><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21</Pages>
  <Words>6083</Words>
  <Characters>8144</Characters>
  <Lines>76</Lines>
  <Paragraphs>21</Paragraphs>
  <TotalTime>1</TotalTime>
  <ScaleCrop>false</ScaleCrop>
  <LinksUpToDate>false</LinksUpToDate>
  <CharactersWithSpaces>10532</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2026-01-03T08:20:00Z</dcterms:created>
  <dc:creator>桂明韬</dc:creator>
  <cp:lastModifiedBy>admin</cp:lastModifiedBy>
  <dcterms:modified xsi:type="dcterms:W3CDTF">2026-01-03T14:48:18Z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F6C16124F75548A6BE8EE1B7700B2946_11</vt:lpwstr>
  </property>
  <property fmtid="{D5CDD505-2E9C-101B-9397-08002B2CF9AE}" pid="4" name="KSOTemplateDocerSaveRecord">
    <vt:lpwstr>eyJoZGlkIjoiZDBmNGViZmEwNzZmMGJkYjhhMjhmYjgwZjYyOTE4YmIiLCJ1c2VySWQiOiIxMDU1OTAyNTUwIn0=</vt:lpwstr>
  </property>
</Properties>
</file>