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bmp" ContentType="image/bmp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5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</w:trPr>
        <w:tc>
          <w:tcPr>
            <w:tcW w:w="8312" w:type="dxa"/>
            <w:vAlign w:val="center"/>
          </w:tcPr>
          <w:p>
            <w:pPr>
              <w:widowControl w:val="0"/>
              <w:jc w:val="both"/>
              <w:rPr>
                <w:rFonts w:hint="eastAsia" w:ascii="等线" w:hAnsi="等线" w:eastAsia="等线"/>
                <w:kern w:val="2"/>
                <w:szCs w:val="22"/>
                <w:lang w:val="en-US"/>
              </w:rPr>
            </w:pPr>
            <w:bookmarkStart w:id="0" w:name="_Hlk172641893"/>
            <w:bookmarkStart w:id="1" w:name="_Hlk172642859"/>
          </w:p>
          <w:p>
            <w:pPr>
              <w:widowControl w:val="0"/>
              <w:spacing w:before="936" w:beforeLines="300"/>
              <w:jc w:val="center"/>
              <w:rPr>
                <w:rFonts w:hint="eastAsia" w:ascii="微软雅黑" w:hAnsi="微软雅黑" w:eastAsia="微软雅黑"/>
                <w:b/>
                <w:bCs/>
                <w:kern w:val="2"/>
                <w:sz w:val="7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bCs/>
                <w:spacing w:val="135"/>
                <w:kern w:val="0"/>
                <w:sz w:val="72"/>
                <w:szCs w:val="52"/>
                <w:fitText w:val="8640" w:id="0"/>
              </w:rPr>
              <w:t>全年负荷计算报告</w:t>
            </w:r>
            <w:r>
              <w:rPr>
                <w:rFonts w:hint="eastAsia" w:ascii="微软雅黑" w:hAnsi="微软雅黑" w:eastAsia="微软雅黑"/>
                <w:b/>
                <w:bCs/>
                <w:kern w:val="0"/>
                <w:sz w:val="72"/>
                <w:szCs w:val="52"/>
                <w:fitText w:val="8640" w:id="0"/>
              </w:rPr>
              <w:t>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2" w:type="dxa"/>
          </w:tcPr>
          <w:p>
            <w:pPr>
              <w:widowControl w:val="0"/>
              <w:spacing w:before="156" w:beforeLines="50"/>
              <w:jc w:val="center"/>
              <w:rPr>
                <w:rFonts w:hint="eastAsia" w:ascii="微软雅黑" w:hAnsi="微软雅黑" w:eastAsia="微软雅黑"/>
                <w:b/>
                <w:kern w:val="2"/>
                <w:sz w:val="36"/>
                <w:szCs w:val="36"/>
                <w:lang w:val="en-US"/>
              </w:rPr>
            </w:pPr>
            <w:bookmarkStart w:id="2" w:name="项目名称"/>
            <w:bookmarkEnd w:id="2"/>
            <w:r>
              <w:rPr>
                <w:rFonts w:hint="eastAsia" w:ascii="微软雅黑" w:hAnsi="微软雅黑" w:eastAsia="微软雅黑"/>
                <w:b/>
                <w:kern w:val="2"/>
                <w:sz w:val="36"/>
                <w:szCs w:val="36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2" w:type="dxa"/>
          </w:tcPr>
          <w:p>
            <w:pPr>
              <w:widowControl w:val="0"/>
              <w:jc w:val="center"/>
              <w:rPr>
                <w:rFonts w:hint="eastAsia" w:ascii="微软雅黑" w:hAnsi="微软雅黑" w:eastAsia="微软雅黑"/>
                <w:b/>
                <w:kern w:val="2"/>
                <w:sz w:val="32"/>
                <w:szCs w:val="52"/>
                <w:lang w:val="en-US"/>
              </w:rPr>
            </w:pPr>
            <w:r>
              <w:rPr>
                <w:rFonts w:hint="eastAsia" w:ascii="微软雅黑" w:hAnsi="微软雅黑" w:eastAsia="微软雅黑"/>
                <w:b/>
                <w:kern w:val="2"/>
                <w:sz w:val="32"/>
                <w:szCs w:val="52"/>
                <w:lang w:val="en-US"/>
              </w:rPr>
              <w:t>设计编号：</w:t>
            </w:r>
            <w:bookmarkStart w:id="3" w:name="设计编号"/>
            <w:bookmarkEnd w:id="3"/>
          </w:p>
          <w:p>
            <w:pPr>
              <w:widowControl w:val="0"/>
              <w:jc w:val="center"/>
              <w:rPr>
                <w:rFonts w:hint="eastAsia" w:ascii="微软雅黑" w:hAnsi="微软雅黑" w:eastAsia="微软雅黑"/>
                <w:b/>
                <w:kern w:val="2"/>
                <w:szCs w:val="21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2" w:type="dxa"/>
          </w:tcPr>
          <w:p>
            <w:pPr>
              <w:widowControl w:val="0"/>
              <w:jc w:val="center"/>
              <w:rPr>
                <w:rFonts w:hint="eastAsia" w:ascii="微软雅黑" w:hAnsi="微软雅黑" w:eastAsia="微软雅黑"/>
                <w:b/>
                <w:kern w:val="2"/>
                <w:sz w:val="32"/>
                <w:szCs w:val="52"/>
                <w:lang w:val="en-US"/>
              </w:rPr>
            </w:pPr>
            <w:bookmarkStart w:id="4" w:name="二维码"/>
            <w:bookmarkEnd w:id="4"/>
          </w:p>
        </w:tc>
      </w:tr>
    </w:tbl>
    <w:p>
      <w:pPr>
        <w:widowControl w:val="0"/>
        <w:jc w:val="center"/>
        <w:rPr>
          <w:rFonts w:hint="eastAsia" w:ascii="等线" w:hAnsi="等线" w:eastAsia="等线"/>
          <w:kern w:val="2"/>
          <w:szCs w:val="22"/>
          <w:lang w:val="en-US"/>
        </w:rPr>
      </w:pPr>
      <w:r>
        <w:drawing>
          <wp:inline distT="0" distB="0" distL="0" distR="0">
            <wp:extent cx="1009650" cy="1009650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rFonts w:hint="eastAsia" w:ascii="等线" w:hAnsi="等线" w:eastAsia="等线"/>
          <w:kern w:val="2"/>
          <w:szCs w:val="22"/>
          <w:lang w:val="en-US"/>
        </w:rPr>
      </w:pPr>
    </w:p>
    <w:p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tbl>
      <w:tblPr>
        <w:tblStyle w:val="25"/>
        <w:tblW w:w="0" w:type="auto"/>
        <w:tblInd w:w="5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工程地点</w:t>
            </w:r>
          </w:p>
        </w:tc>
        <w:tc>
          <w:tcPr>
            <w:tcW w:w="456" w:type="dxa"/>
          </w:tcPr>
          <w:p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5" w:name="地理位置"/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湖南-长沙</w:t>
            </w:r>
            <w:bookmarkEnd w:id="5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建设单位</w:t>
            </w:r>
          </w:p>
        </w:tc>
        <w:tc>
          <w:tcPr>
            <w:tcW w:w="456" w:type="dxa"/>
          </w:tcPr>
          <w:p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6" w:name="建设单位"/>
            <w:bookmarkEnd w:id="6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设计单位</w:t>
            </w:r>
          </w:p>
        </w:tc>
        <w:tc>
          <w:tcPr>
            <w:tcW w:w="456" w:type="dxa"/>
          </w:tcPr>
          <w:p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7" w:name="设计单位"/>
            <w:bookmarkEnd w:id="7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设计人</w:t>
            </w:r>
          </w:p>
        </w:tc>
        <w:tc>
          <w:tcPr>
            <w:tcW w:w="456" w:type="dxa"/>
          </w:tcPr>
          <w:p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校对人</w:t>
            </w:r>
          </w:p>
        </w:tc>
        <w:tc>
          <w:tcPr>
            <w:tcW w:w="456" w:type="dxa"/>
          </w:tcPr>
          <w:p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审定人</w:t>
            </w:r>
          </w:p>
        </w:tc>
        <w:tc>
          <w:tcPr>
            <w:tcW w:w="456" w:type="dxa"/>
          </w:tcPr>
          <w:p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报告日期</w:t>
            </w:r>
          </w:p>
        </w:tc>
        <w:tc>
          <w:tcPr>
            <w:tcW w:w="456" w:type="dxa"/>
          </w:tcPr>
          <w:p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: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8" w:name="报告日期"/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</w:rPr>
              <w:t>2025年12月25日</w:t>
            </w:r>
            <w:bookmarkEnd w:id="8"/>
          </w:p>
        </w:tc>
      </w:tr>
    </w:tbl>
    <w:p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p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p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tbl>
      <w:tblPr>
        <w:tblStyle w:val="25"/>
        <w:tblW w:w="8343" w:type="dxa"/>
        <w:tblInd w:w="0" w:type="dxa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3109"/>
        <w:gridCol w:w="3958"/>
      </w:tblGrid>
      <w:tr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>
            <w:pPr>
              <w:spacing w:before="156" w:beforeLines="50"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采用软件</w:t>
            </w:r>
          </w:p>
        </w:tc>
        <w:tc>
          <w:tcPr>
            <w:tcW w:w="3109" w:type="dxa"/>
            <w:vAlign w:val="bottom"/>
          </w:tcPr>
          <w:p>
            <w:pPr>
              <w:spacing w:line="180" w:lineRule="exact"/>
              <w:ind w:left="-34" w:leftChars="-16" w:right="-105" w:rightChars="-50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: </w:t>
            </w:r>
            <w:bookmarkStart w:id="9" w:name="软件全称"/>
            <w:r>
              <w:rPr>
                <w:rFonts w:hint="eastAsia" w:ascii="等线" w:hAnsi="等线" w:eastAsia="等线"/>
                <w:kern w:val="2"/>
                <w:sz w:val="18"/>
                <w:szCs w:val="22"/>
              </w:rPr>
              <w:t>暖通负荷BECH2025</w:t>
            </w:r>
            <w:bookmarkEnd w:id="9"/>
          </w:p>
        </w:tc>
        <w:tc>
          <w:tcPr>
            <w:tcW w:w="3958" w:type="dxa"/>
            <w:vMerge w:val="restart"/>
            <w:vAlign w:val="bottom"/>
          </w:tcPr>
          <w:p>
            <w:pPr>
              <w:spacing w:line="180" w:lineRule="exact"/>
              <w:ind w:left="-246" w:leftChars="-117"/>
              <w:jc w:val="righ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  <w:r>
              <w:rPr>
                <w:rFonts w:ascii="等线" w:hAnsi="等线" w:eastAsia="等线"/>
                <w:kern w:val="2"/>
                <w:szCs w:val="22"/>
                <w:lang w:val="en-US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412115</wp:posOffset>
                  </wp:positionH>
                  <wp:positionV relativeFrom="paragraph">
                    <wp:posOffset>108585</wp:posOffset>
                  </wp:positionV>
                  <wp:extent cx="1964055" cy="509270"/>
                  <wp:effectExtent l="0" t="0" r="0" b="5080"/>
                  <wp:wrapNone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0655" cy="557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软件版本</w:t>
            </w:r>
          </w:p>
        </w:tc>
        <w:tc>
          <w:tcPr>
            <w:tcW w:w="3109" w:type="dxa"/>
            <w:vAlign w:val="bottom"/>
          </w:tcPr>
          <w:p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 </w:t>
            </w:r>
            <w:bookmarkStart w:id="10" w:name="软件版本"/>
            <w:r>
              <w:rPr>
                <w:rFonts w:hint="eastAsia" w:ascii="等线" w:hAnsi="等线" w:eastAsia="等线"/>
                <w:kern w:val="2"/>
                <w:sz w:val="18"/>
                <w:szCs w:val="22"/>
              </w:rPr>
              <w:t>20250505(PLUS)</w:t>
            </w:r>
            <w:bookmarkEnd w:id="10"/>
          </w:p>
        </w:tc>
        <w:tc>
          <w:tcPr>
            <w:tcW w:w="3958" w:type="dxa"/>
            <w:vMerge w:val="continue"/>
          </w:tcPr>
          <w:p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  <w:tr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正版授权码</w:t>
            </w:r>
          </w:p>
        </w:tc>
        <w:tc>
          <w:tcPr>
            <w:tcW w:w="3109" w:type="dxa"/>
            <w:vAlign w:val="bottom"/>
          </w:tcPr>
          <w:p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 </w:t>
            </w:r>
            <w:bookmarkStart w:id="11" w:name="加密锁号"/>
            <w:r>
              <w:rPr>
                <w:rFonts w:hint="eastAsia" w:ascii="等线" w:hAnsi="等线" w:eastAsia="等线"/>
                <w:kern w:val="2"/>
                <w:sz w:val="18"/>
                <w:szCs w:val="22"/>
              </w:rPr>
              <w:t>T18890004197</w:t>
            </w:r>
            <w:bookmarkEnd w:id="11"/>
          </w:p>
        </w:tc>
        <w:tc>
          <w:tcPr>
            <w:tcW w:w="3958" w:type="dxa"/>
            <w:vMerge w:val="continue"/>
          </w:tcPr>
          <w:p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  <w:tr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研发单位</w:t>
            </w:r>
          </w:p>
        </w:tc>
        <w:tc>
          <w:tcPr>
            <w:tcW w:w="3109" w:type="dxa"/>
            <w:vAlign w:val="bottom"/>
          </w:tcPr>
          <w:p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 </w:t>
            </w: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北京绿建软件股份有限公司</w:t>
            </w:r>
          </w:p>
        </w:tc>
        <w:tc>
          <w:tcPr>
            <w:tcW w:w="3958" w:type="dxa"/>
            <w:vMerge w:val="continue"/>
          </w:tcPr>
          <w:p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  <w:bookmarkEnd w:id="0"/>
    </w:tbl>
    <w:p>
      <w:pPr>
        <w:rPr>
          <w:rFonts w:hint="eastAsia" w:ascii="宋体" w:hAnsi="宋体"/>
          <w:sz w:val="32"/>
          <w:szCs w:val="32"/>
        </w:rPr>
      </w:pPr>
    </w:p>
    <w:p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</w:pPr>
    </w:p>
    <w:p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目  录</w:t>
      </w:r>
    </w:p>
    <w:p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hint="eastAsia" w:ascii="宋体" w:hAnsi="宋体"/>
          <w:szCs w:val="20"/>
        </w:rPr>
      </w:pP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</w:instrText>
      </w:r>
      <w:r>
        <w:rPr>
          <w:rFonts w:hint="eastAsia" w:ascii="宋体" w:hAnsi="宋体"/>
          <w:b w:val="0"/>
          <w:bCs w:val="0"/>
          <w:caps/>
        </w:rPr>
        <w:instrText xml:space="preserve">2</w:instrText>
      </w:r>
      <w:r>
        <w:rPr>
          <w:rFonts w:ascii="宋体" w:hAnsi="宋体"/>
          <w:b w:val="0"/>
          <w:bCs w:val="0"/>
          <w:caps/>
        </w:rPr>
        <w:instrText xml:space="preserve">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_Toc23684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</w:rPr>
        <w:t xml:space="preserve">1 </w:t>
      </w:r>
      <w:r>
        <w:rPr>
          <w:kern w:val="2"/>
          <w:szCs w:val="24"/>
        </w:rPr>
        <w:t>建筑概况</w:t>
      </w:r>
      <w:r>
        <w:tab/>
      </w:r>
      <w:r>
        <w:fldChar w:fldCharType="begin"/>
      </w:r>
      <w:r>
        <w:instrText xml:space="preserve"> PAGEREF _Toc23684 </w:instrText>
      </w:r>
      <w:r>
        <w:fldChar w:fldCharType="separate"/>
      </w:r>
      <w:r>
        <w:t>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_Toc25466 </w:instrText>
      </w:r>
      <w:r>
        <w:fldChar w:fldCharType="separate"/>
      </w:r>
      <w:r>
        <w:rPr>
          <w:rFonts w:hint="eastAsia"/>
        </w:rPr>
        <w:t>2 气象</w:t>
      </w:r>
      <w:r>
        <w:t>数据</w:t>
      </w:r>
      <w:r>
        <w:tab/>
      </w:r>
      <w:r>
        <w:fldChar w:fldCharType="begin"/>
      </w:r>
      <w:r>
        <w:instrText xml:space="preserve"> PAGEREF _Toc25466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_Toc15860 </w:instrText>
      </w:r>
      <w:r>
        <w:fldChar w:fldCharType="separate"/>
      </w:r>
      <w:r>
        <w:rPr>
          <w:rFonts w:hint="eastAsia"/>
          <w:lang w:val="en-GB"/>
        </w:rPr>
        <w:t xml:space="preserve">2.1 </w:t>
      </w:r>
      <w:r>
        <w:rPr>
          <w:rFonts w:hint="eastAsia"/>
        </w:rPr>
        <w:t>气象地点</w:t>
      </w:r>
      <w:r>
        <w:tab/>
      </w:r>
      <w:r>
        <w:fldChar w:fldCharType="begin"/>
      </w:r>
      <w:r>
        <w:instrText xml:space="preserve"> PAGEREF _Toc15860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_Toc14566 </w:instrText>
      </w:r>
      <w:r>
        <w:fldChar w:fldCharType="separate"/>
      </w:r>
      <w:r>
        <w:rPr>
          <w:rFonts w:hint="eastAsia"/>
          <w:lang w:val="en-GB"/>
        </w:rPr>
        <w:t xml:space="preserve">2.2 </w:t>
      </w:r>
      <w:r>
        <w:rPr>
          <w:rFonts w:hint="eastAsia"/>
        </w:rPr>
        <w:t>逐</w:t>
      </w:r>
      <w:r>
        <w:t>日干球温度表</w:t>
      </w:r>
      <w:r>
        <w:tab/>
      </w:r>
      <w:r>
        <w:fldChar w:fldCharType="begin"/>
      </w:r>
      <w:r>
        <w:instrText xml:space="preserve"> PAGEREF _Toc14566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_Toc24486 </w:instrText>
      </w:r>
      <w:r>
        <w:fldChar w:fldCharType="separate"/>
      </w:r>
      <w:r>
        <w:rPr>
          <w:rFonts w:hint="eastAsia"/>
          <w:lang w:val="en-GB"/>
        </w:rPr>
        <w:t xml:space="preserve">2.3 </w:t>
      </w:r>
      <w:r>
        <w:rPr>
          <w:rFonts w:hint="eastAsia"/>
        </w:rPr>
        <w:t>逐</w:t>
      </w:r>
      <w:r>
        <w:t>月</w:t>
      </w:r>
      <w:r>
        <w:rPr>
          <w:rFonts w:hint="eastAsia"/>
        </w:rPr>
        <w:t>辐照</w:t>
      </w:r>
      <w:r>
        <w:t>量</w:t>
      </w:r>
      <w:r>
        <w:rPr>
          <w:rFonts w:hint="eastAsia"/>
        </w:rPr>
        <w:t>表</w:t>
      </w:r>
      <w:r>
        <w:tab/>
      </w:r>
      <w:r>
        <w:fldChar w:fldCharType="begin"/>
      </w:r>
      <w:r>
        <w:instrText xml:space="preserve"> PAGEREF _Toc24486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_Toc16531 </w:instrText>
      </w:r>
      <w:r>
        <w:fldChar w:fldCharType="separate"/>
      </w:r>
      <w:r>
        <w:rPr>
          <w:rFonts w:hint="eastAsia"/>
          <w:lang w:val="en-GB"/>
        </w:rPr>
        <w:t xml:space="preserve">2.4 </w:t>
      </w:r>
      <w:r>
        <w:rPr>
          <w:rFonts w:hint="eastAsia"/>
        </w:rPr>
        <w:t>峰值</w:t>
      </w:r>
      <w:r>
        <w:t>工况</w:t>
      </w:r>
      <w:r>
        <w:tab/>
      </w:r>
      <w:r>
        <w:fldChar w:fldCharType="begin"/>
      </w:r>
      <w:r>
        <w:instrText xml:space="preserve"> PAGEREF _Toc16531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_Toc2675 </w:instrText>
      </w:r>
      <w:r>
        <w:fldChar w:fldCharType="separate"/>
      </w:r>
      <w:r>
        <w:rPr>
          <w:rFonts w:hint="eastAsia"/>
        </w:rPr>
        <w:t>3 软件介绍</w:t>
      </w:r>
      <w:r>
        <w:tab/>
      </w:r>
      <w:r>
        <w:fldChar w:fldCharType="begin"/>
      </w:r>
      <w:r>
        <w:instrText xml:space="preserve"> PAGEREF _Toc2675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_Toc25163 </w:instrText>
      </w:r>
      <w:r>
        <w:fldChar w:fldCharType="separate"/>
      </w:r>
      <w:r>
        <w:rPr>
          <w:rFonts w:hint="eastAsia"/>
        </w:rPr>
        <w:t>4 围护</w:t>
      </w:r>
      <w:r>
        <w:t>结构</w:t>
      </w:r>
      <w:r>
        <w:tab/>
      </w:r>
      <w:r>
        <w:fldChar w:fldCharType="begin"/>
      </w:r>
      <w:r>
        <w:instrText xml:space="preserve"> PAGEREF _Toc25163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_Toc2059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4.1 </w:t>
      </w:r>
      <w:r>
        <w:rPr>
          <w:kern w:val="2"/>
          <w:szCs w:val="24"/>
          <w:lang w:val="en-US"/>
        </w:rPr>
        <w:t>屋顶构造</w:t>
      </w:r>
      <w:r>
        <w:tab/>
      </w:r>
      <w:r>
        <w:fldChar w:fldCharType="begin"/>
      </w:r>
      <w:r>
        <w:instrText xml:space="preserve"> PAGEREF _Toc2059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_Toc26081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4.2 </w:t>
      </w:r>
      <w:r>
        <w:rPr>
          <w:kern w:val="2"/>
          <w:szCs w:val="24"/>
          <w:lang w:val="en-US"/>
        </w:rPr>
        <w:t>外墙构造</w:t>
      </w:r>
      <w:r>
        <w:tab/>
      </w:r>
      <w:r>
        <w:fldChar w:fldCharType="begin"/>
      </w:r>
      <w:r>
        <w:instrText xml:space="preserve"> PAGEREF _Toc26081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_Toc6736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4.3 </w:t>
      </w:r>
      <w:r>
        <w:rPr>
          <w:kern w:val="2"/>
          <w:szCs w:val="24"/>
          <w:lang w:val="en-US"/>
        </w:rPr>
        <w:t>挑空楼板构造</w:t>
      </w:r>
      <w:r>
        <w:tab/>
      </w:r>
      <w:r>
        <w:fldChar w:fldCharType="begin"/>
      </w:r>
      <w:r>
        <w:instrText xml:space="preserve"> PAGEREF _Toc6736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_Toc8606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4.4 </w:t>
      </w:r>
      <w:r>
        <w:rPr>
          <w:kern w:val="2"/>
          <w:szCs w:val="24"/>
          <w:lang w:val="en-US"/>
        </w:rPr>
        <w:t>楼板构造</w:t>
      </w:r>
      <w:r>
        <w:tab/>
      </w:r>
      <w:r>
        <w:fldChar w:fldCharType="begin"/>
      </w:r>
      <w:r>
        <w:instrText xml:space="preserve"> PAGEREF _Toc8606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_Toc12940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4.5 </w:t>
      </w:r>
      <w:r>
        <w:rPr>
          <w:kern w:val="2"/>
          <w:szCs w:val="24"/>
          <w:lang w:val="en-US"/>
        </w:rPr>
        <w:t>周边地面构造</w:t>
      </w:r>
      <w:r>
        <w:tab/>
      </w:r>
      <w:r>
        <w:fldChar w:fldCharType="begin"/>
      </w:r>
      <w:r>
        <w:instrText xml:space="preserve"> PAGEREF _Toc12940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_Toc3372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4.6 </w:t>
      </w:r>
      <w:r>
        <w:rPr>
          <w:kern w:val="2"/>
          <w:szCs w:val="24"/>
          <w:lang w:val="en-US"/>
        </w:rPr>
        <w:t>非周边地面构造</w:t>
      </w:r>
      <w:r>
        <w:tab/>
      </w:r>
      <w:r>
        <w:fldChar w:fldCharType="begin"/>
      </w:r>
      <w:r>
        <w:instrText xml:space="preserve"> PAGEREF _Toc3372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_Toc3907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4.7 </w:t>
      </w:r>
      <w:r>
        <w:rPr>
          <w:kern w:val="2"/>
          <w:szCs w:val="24"/>
          <w:lang w:val="en-US"/>
        </w:rPr>
        <w:t>地下墙构造</w:t>
      </w:r>
      <w:r>
        <w:tab/>
      </w:r>
      <w:r>
        <w:fldChar w:fldCharType="begin"/>
      </w:r>
      <w:r>
        <w:instrText xml:space="preserve"> PAGEREF _Toc3907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_Toc25740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4.8 </w:t>
      </w:r>
      <w:r>
        <w:rPr>
          <w:kern w:val="2"/>
          <w:szCs w:val="24"/>
          <w:lang w:val="en-US"/>
        </w:rPr>
        <w:t>门构造</w:t>
      </w:r>
      <w:r>
        <w:tab/>
      </w:r>
      <w:r>
        <w:fldChar w:fldCharType="begin"/>
      </w:r>
      <w:r>
        <w:instrText xml:space="preserve"> PAGEREF _Toc25740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_Toc23987 </w:instrText>
      </w:r>
      <w:r>
        <w:fldChar w:fldCharType="separate"/>
      </w:r>
      <w:r>
        <w:rPr>
          <w:rFonts w:hint="eastAsia"/>
          <w:lang w:val="en-GB"/>
        </w:rPr>
        <w:t xml:space="preserve">4.9 </w:t>
      </w:r>
      <w:r>
        <w:t>窗构造</w:t>
      </w:r>
      <w:r>
        <w:tab/>
      </w:r>
      <w:r>
        <w:fldChar w:fldCharType="begin"/>
      </w:r>
      <w:r>
        <w:instrText xml:space="preserve"> PAGEREF _Toc23987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_Toc9254 </w:instrText>
      </w:r>
      <w:r>
        <w:fldChar w:fldCharType="separate"/>
      </w:r>
      <w:r>
        <w:rPr>
          <w:rFonts w:hint="eastAsia"/>
        </w:rPr>
        <w:t xml:space="preserve">5 </w:t>
      </w:r>
      <w:r>
        <w:t>房间类型</w:t>
      </w:r>
      <w:r>
        <w:tab/>
      </w:r>
      <w:r>
        <w:fldChar w:fldCharType="begin"/>
      </w:r>
      <w:r>
        <w:instrText xml:space="preserve"> PAGEREF _Toc9254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_Toc9285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5.1 </w:t>
      </w:r>
      <w:r>
        <w:rPr>
          <w:kern w:val="2"/>
          <w:szCs w:val="24"/>
          <w:lang w:val="en-US"/>
        </w:rPr>
        <w:t>房间参数表</w:t>
      </w:r>
      <w:r>
        <w:tab/>
      </w:r>
      <w:r>
        <w:fldChar w:fldCharType="begin"/>
      </w:r>
      <w:r>
        <w:instrText xml:space="preserve"> PAGEREF _Toc9285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_Toc11764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5.2 </w:t>
      </w:r>
      <w:r>
        <w:rPr>
          <w:kern w:val="2"/>
          <w:szCs w:val="24"/>
          <w:lang w:val="en-US"/>
        </w:rPr>
        <w:t>作息时间表</w:t>
      </w:r>
      <w:r>
        <w:tab/>
      </w:r>
      <w:r>
        <w:fldChar w:fldCharType="begin"/>
      </w:r>
      <w:r>
        <w:instrText xml:space="preserve"> PAGEREF _Toc11764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_Toc9585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6 </w:t>
      </w:r>
      <w:r>
        <w:rPr>
          <w:kern w:val="2"/>
          <w:szCs w:val="24"/>
          <w:lang w:val="en-US"/>
        </w:rPr>
        <w:t>系统设置</w:t>
      </w:r>
      <w:r>
        <w:tab/>
      </w:r>
      <w:r>
        <w:fldChar w:fldCharType="begin"/>
      </w:r>
      <w:r>
        <w:instrText xml:space="preserve"> PAGEREF _Toc9585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_Toc10574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6.1 </w:t>
      </w:r>
      <w:r>
        <w:rPr>
          <w:kern w:val="2"/>
          <w:szCs w:val="24"/>
          <w:lang w:val="en-US"/>
        </w:rPr>
        <w:t>系统划分</w:t>
      </w:r>
      <w:r>
        <w:tab/>
      </w:r>
      <w:r>
        <w:fldChar w:fldCharType="begin"/>
      </w:r>
      <w:r>
        <w:instrText xml:space="preserve"> PAGEREF _Toc10574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_Toc9962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6.2 </w:t>
      </w:r>
      <w:r>
        <w:rPr>
          <w:kern w:val="2"/>
          <w:szCs w:val="24"/>
          <w:lang w:val="en-US"/>
        </w:rPr>
        <w:t>运行时间表</w:t>
      </w:r>
      <w:r>
        <w:tab/>
      </w:r>
      <w:r>
        <w:fldChar w:fldCharType="begin"/>
      </w:r>
      <w:r>
        <w:instrText xml:space="preserve"> PAGEREF _Toc9962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_Toc31213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7 </w:t>
      </w:r>
      <w:r>
        <w:rPr>
          <w:kern w:val="2"/>
          <w:szCs w:val="24"/>
          <w:lang w:val="en-US"/>
        </w:rPr>
        <w:t>计算结果</w:t>
      </w:r>
      <w:r>
        <w:tab/>
      </w:r>
      <w:r>
        <w:fldChar w:fldCharType="begin"/>
      </w:r>
      <w:r>
        <w:instrText xml:space="preserve"> PAGEREF _Toc31213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_Toc9999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7.1 </w:t>
      </w:r>
      <w:r>
        <w:rPr>
          <w:kern w:val="2"/>
          <w:szCs w:val="24"/>
          <w:lang w:val="en-US"/>
        </w:rPr>
        <w:t>模拟周期</w:t>
      </w:r>
      <w:r>
        <w:tab/>
      </w:r>
      <w:r>
        <w:fldChar w:fldCharType="begin"/>
      </w:r>
      <w:r>
        <w:instrText xml:space="preserve"> PAGEREF _Toc9999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_Toc20501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7.2 </w:t>
      </w:r>
      <w:r>
        <w:rPr>
          <w:kern w:val="2"/>
          <w:szCs w:val="24"/>
          <w:lang w:val="en-US"/>
        </w:rPr>
        <w:t>全年冷暖需求</w:t>
      </w:r>
      <w:r>
        <w:tab/>
      </w:r>
      <w:r>
        <w:fldChar w:fldCharType="begin"/>
      </w:r>
      <w:r>
        <w:instrText xml:space="preserve"> PAGEREF _Toc20501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_Toc6896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7.3 </w:t>
      </w:r>
      <w:r>
        <w:rPr>
          <w:kern w:val="2"/>
          <w:szCs w:val="24"/>
          <w:lang w:val="en-US"/>
        </w:rPr>
        <w:t>负荷分项统计</w:t>
      </w:r>
      <w:r>
        <w:tab/>
      </w:r>
      <w:r>
        <w:fldChar w:fldCharType="begin"/>
      </w:r>
      <w:r>
        <w:instrText xml:space="preserve"> PAGEREF _Toc6896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_Toc8970 </w:instrText>
      </w:r>
      <w:r>
        <w:fldChar w:fldCharType="separate"/>
      </w:r>
      <w:r>
        <w:rPr>
          <w:rFonts w:hint="eastAsia"/>
          <w:lang w:val="en-GB"/>
        </w:rPr>
        <w:t xml:space="preserve">7.4 </w:t>
      </w:r>
      <w:r>
        <w:t>逐月负荷表</w:t>
      </w:r>
      <w:r>
        <w:tab/>
      </w:r>
      <w:r>
        <w:fldChar w:fldCharType="begin"/>
      </w:r>
      <w:r>
        <w:instrText xml:space="preserve"> PAGEREF _Toc8970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_Toc24935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8 </w:t>
      </w:r>
      <w:r>
        <w:rPr>
          <w:kern w:val="2"/>
          <w:szCs w:val="24"/>
          <w:lang w:val="en-US"/>
        </w:rPr>
        <w:t>附录</w:t>
      </w:r>
      <w:r>
        <w:tab/>
      </w:r>
      <w:r>
        <w:fldChar w:fldCharType="begin"/>
      </w:r>
      <w:r>
        <w:instrText xml:space="preserve"> PAGEREF _Toc24935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6"/>
        <w:sectPr>
          <w:headerReference r:id="rId3" w:type="firs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  <w:r>
        <w:fldChar w:fldCharType="end"/>
      </w:r>
    </w:p>
    <w:p>
      <w:pPr>
        <w:pStyle w:val="2"/>
        <w:widowControl w:val="0"/>
        <w:jc w:val="both"/>
        <w:rPr>
          <w:kern w:val="2"/>
          <w:szCs w:val="24"/>
        </w:rPr>
      </w:pPr>
      <w:bookmarkStart w:id="12" w:name="_Toc23684"/>
      <w:bookmarkStart w:id="13" w:name="_Toc494471704"/>
      <w:r>
        <w:rPr>
          <w:kern w:val="2"/>
          <w:szCs w:val="24"/>
        </w:rPr>
        <w:t>建筑概况</w:t>
      </w:r>
      <w:bookmarkEnd w:id="12"/>
      <w:bookmarkEnd w:id="13"/>
    </w:p>
    <w:tbl>
      <w:tblPr>
        <w:tblStyle w:val="18"/>
        <w:tblW w:w="9327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1"/>
        <w:gridCol w:w="3101"/>
        <w:gridCol w:w="339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>
            <w:r>
              <w:t>地理位置</w:t>
            </w:r>
          </w:p>
        </w:tc>
        <w:tc>
          <w:tcPr>
            <w:tcW w:w="6496" w:type="dxa"/>
            <w:gridSpan w:val="2"/>
            <w:vAlign w:val="center"/>
          </w:tcPr>
          <w:p>
            <w:r>
              <w:t>北京-北京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>
            <w:r>
              <w:t>气候分区</w:t>
            </w:r>
          </w:p>
        </w:tc>
        <w:tc>
          <w:tcPr>
            <w:tcW w:w="6496" w:type="dxa"/>
            <w:gridSpan w:val="2"/>
            <w:vAlign w:val="center"/>
          </w:tcPr>
          <w:p>
            <w:bookmarkStart w:id="14" w:name="气候分区"/>
            <w:r>
              <w:t>夏热冬冷A区</w:t>
            </w:r>
            <w:bookmarkEnd w:id="14"/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>
            <w:r>
              <w:t>北纬</w:t>
            </w:r>
          </w:p>
        </w:tc>
        <w:tc>
          <w:tcPr>
            <w:tcW w:w="6496" w:type="dxa"/>
            <w:gridSpan w:val="2"/>
            <w:vAlign w:val="center"/>
          </w:tcPr>
          <w:p>
            <w:bookmarkStart w:id="15" w:name="纬度"/>
            <w:r>
              <w:t>28.00</w:t>
            </w:r>
            <w:bookmarkEnd w:id="15"/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>
            <w:r>
              <w:t>东经</w:t>
            </w:r>
          </w:p>
        </w:tc>
        <w:tc>
          <w:tcPr>
            <w:tcW w:w="6496" w:type="dxa"/>
            <w:gridSpan w:val="2"/>
            <w:vAlign w:val="center"/>
          </w:tcPr>
          <w:p>
            <w:bookmarkStart w:id="16" w:name="经度"/>
            <w:r>
              <w:t>113.08</w:t>
            </w:r>
            <w:bookmarkEnd w:id="16"/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>
            <w:r>
              <w:t>建筑名称</w:t>
            </w:r>
          </w:p>
        </w:tc>
        <w:tc>
          <w:tcPr>
            <w:tcW w:w="6496" w:type="dxa"/>
            <w:gridSpan w:val="2"/>
            <w:vAlign w:val="center"/>
          </w:tcPr>
          <w:p>
            <w:bookmarkStart w:id="17" w:name="项目名称＃2"/>
            <w:bookmarkEnd w:id="17"/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>
            <w:r>
              <w:t>建筑类型</w:t>
            </w:r>
          </w:p>
        </w:tc>
        <w:tc>
          <w:tcPr>
            <w:tcW w:w="3101" w:type="dxa"/>
            <w:vAlign w:val="center"/>
          </w:tcPr>
          <w:p>
            <w:bookmarkStart w:id="18" w:name="建筑类型"/>
            <w:r>
              <w:t>公共建筑</w:t>
            </w:r>
            <w:bookmarkEnd w:id="18"/>
          </w:p>
        </w:tc>
        <w:tc>
          <w:tcPr>
            <w:tcW w:w="3395" w:type="dxa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>
            <w:r>
              <w:rPr>
                <w:rFonts w:hint="eastAsia"/>
              </w:rPr>
              <w:t>计算</w:t>
            </w:r>
            <w:r>
              <w:t>建筑面积</w:t>
            </w:r>
          </w:p>
        </w:tc>
        <w:tc>
          <w:tcPr>
            <w:tcW w:w="3101" w:type="dxa"/>
            <w:vAlign w:val="center"/>
          </w:tcPr>
          <w:p>
            <w:r>
              <w:t xml:space="preserve">地上 </w:t>
            </w:r>
            <w:bookmarkStart w:id="19" w:name="地上建筑面积"/>
            <w:r>
              <w:t>35077.19</w:t>
            </w:r>
            <w:bookmarkEnd w:id="19"/>
            <w:r>
              <w:t xml:space="preserve"> ㎡</w:t>
            </w:r>
          </w:p>
        </w:tc>
        <w:tc>
          <w:tcPr>
            <w:tcW w:w="3395" w:type="dxa"/>
            <w:vAlign w:val="center"/>
          </w:tcPr>
          <w:p>
            <w:r>
              <w:t xml:space="preserve">地下 </w:t>
            </w:r>
            <w:bookmarkStart w:id="20" w:name="地下建筑面积"/>
            <w:r>
              <w:t>2559.24</w:t>
            </w:r>
            <w:bookmarkEnd w:id="20"/>
            <w:r>
              <w:t xml:space="preserve"> 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>
            <w:r>
              <w:t>建筑高度</w:t>
            </w:r>
          </w:p>
        </w:tc>
        <w:tc>
          <w:tcPr>
            <w:tcW w:w="3101" w:type="dxa"/>
            <w:vAlign w:val="center"/>
          </w:tcPr>
          <w:p>
            <w:r>
              <w:t xml:space="preserve">地上 </w:t>
            </w:r>
            <w:bookmarkStart w:id="21" w:name="地上建筑高度"/>
            <w:r>
              <w:t>54.00</w:t>
            </w:r>
            <w:bookmarkEnd w:id="21"/>
            <w:r>
              <w:t xml:space="preserve"> m</w:t>
            </w:r>
          </w:p>
        </w:tc>
        <w:tc>
          <w:tcPr>
            <w:tcW w:w="3395" w:type="dxa"/>
            <w:vAlign w:val="center"/>
          </w:tcPr>
          <w:p>
            <w:r>
              <w:t>地下</w:t>
            </w:r>
            <w:bookmarkStart w:id="22" w:name="地下建筑高度"/>
            <w:r>
              <w:t>4.80</w:t>
            </w:r>
            <w:bookmarkEnd w:id="22"/>
            <w:r>
              <w:t xml:space="preserve"> m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>
            <w:r>
              <w:t>建筑层数</w:t>
            </w:r>
          </w:p>
        </w:tc>
        <w:tc>
          <w:tcPr>
            <w:tcW w:w="3101" w:type="dxa"/>
            <w:vAlign w:val="center"/>
          </w:tcPr>
          <w:p>
            <w:r>
              <w:t xml:space="preserve">地上 </w:t>
            </w:r>
            <w:bookmarkStart w:id="23" w:name="地上建筑层数"/>
            <w:r>
              <w:t>12</w:t>
            </w:r>
            <w:bookmarkEnd w:id="23"/>
          </w:p>
        </w:tc>
        <w:tc>
          <w:tcPr>
            <w:tcW w:w="3395" w:type="dxa"/>
            <w:vAlign w:val="center"/>
          </w:tcPr>
          <w:p>
            <w:r>
              <w:t xml:space="preserve">地下 </w:t>
            </w:r>
            <w:bookmarkStart w:id="24" w:name="地下建筑层数"/>
            <w:r>
              <w:t>1</w:t>
            </w:r>
            <w:bookmarkEnd w:id="24"/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>
            <w:r>
              <w:t>北向角度</w:t>
            </w:r>
          </w:p>
        </w:tc>
        <w:tc>
          <w:tcPr>
            <w:tcW w:w="6496" w:type="dxa"/>
            <w:gridSpan w:val="2"/>
            <w:vAlign w:val="center"/>
          </w:tcPr>
          <w:p>
            <w:bookmarkStart w:id="25" w:name="北向角度"/>
            <w:r>
              <w:t>90</w:t>
            </w:r>
            <w:bookmarkEnd w:id="25"/>
            <w:r>
              <w:t>°</w:t>
            </w:r>
          </w:p>
        </w:tc>
      </w:tr>
    </w:tbl>
    <w:p>
      <w:pPr>
        <w:pStyle w:val="2"/>
      </w:pPr>
      <w:bookmarkStart w:id="26" w:name="_Toc25466"/>
      <w:r>
        <w:rPr>
          <w:rFonts w:hint="eastAsia"/>
        </w:rPr>
        <w:t>气象</w:t>
      </w:r>
      <w:r>
        <w:t>数据</w:t>
      </w:r>
      <w:bookmarkEnd w:id="26"/>
    </w:p>
    <w:p>
      <w:pPr>
        <w:pStyle w:val="4"/>
      </w:pPr>
      <w:bookmarkStart w:id="27" w:name="_Toc15860"/>
      <w:r>
        <w:rPr>
          <w:rFonts w:hint="eastAsia"/>
        </w:rPr>
        <w:t>气象地点</w:t>
      </w:r>
      <w:bookmarkEnd w:id="27"/>
    </w:p>
    <w:p>
      <w:pPr>
        <w:pStyle w:val="3"/>
        <w:ind w:firstLine="420"/>
        <w:rPr>
          <w:lang w:val="en-US"/>
        </w:rPr>
      </w:pPr>
      <w:bookmarkStart w:id="28" w:name="气象数据来源"/>
      <w:r>
        <w:t>湖南-长沙, 《建筑节能气象参数标准》JGJ346-2014</w:t>
      </w:r>
      <w:bookmarkEnd w:id="28"/>
    </w:p>
    <w:p>
      <w:pPr>
        <w:pStyle w:val="4"/>
      </w:pPr>
      <w:bookmarkStart w:id="29" w:name="_Toc14566"/>
      <w:r>
        <w:rPr>
          <w:rFonts w:hint="eastAsia"/>
        </w:rPr>
        <w:t>逐</w:t>
      </w:r>
      <w:r>
        <w:t>日干球温度表</w:t>
      </w:r>
      <w:bookmarkEnd w:id="29"/>
    </w:p>
    <w:p>
      <w:pPr>
        <w:widowControl w:val="0"/>
        <w:rPr>
          <w:kern w:val="2"/>
          <w:szCs w:val="24"/>
          <w:lang w:val="en-US"/>
        </w:rPr>
      </w:pPr>
      <w:bookmarkStart w:id="30" w:name="日均干球温度变化表"/>
      <w:bookmarkEnd w:id="30"/>
      <w:r>
        <w:drawing>
          <wp:inline distT="0" distB="0" distL="0" distR="0">
            <wp:extent cx="5667375" cy="2886075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</w:pPr>
      <w:bookmarkStart w:id="31" w:name="日最小干球温度变化表"/>
      <w:bookmarkEnd w:id="31"/>
      <w:bookmarkStart w:id="32" w:name="_Toc24486"/>
      <w:r>
        <w:rPr>
          <w:rFonts w:hint="eastAsia"/>
        </w:rPr>
        <w:t>逐</w:t>
      </w:r>
      <w:r>
        <w:t>月</w:t>
      </w:r>
      <w:r>
        <w:rPr>
          <w:rFonts w:hint="eastAsia"/>
        </w:rPr>
        <w:t>辐照</w:t>
      </w:r>
      <w:r>
        <w:t>量</w:t>
      </w:r>
      <w:r>
        <w:rPr>
          <w:rFonts w:hint="eastAsia"/>
        </w:rPr>
        <w:t>表</w:t>
      </w:r>
      <w:bookmarkEnd w:id="32"/>
    </w:p>
    <w:p>
      <w:pPr>
        <w:rPr>
          <w:kern w:val="2"/>
          <w:szCs w:val="24"/>
          <w:lang w:val="en-US"/>
        </w:rPr>
      </w:pPr>
      <w:bookmarkStart w:id="33" w:name="逐月辐照量图表"/>
      <w:bookmarkEnd w:id="33"/>
      <w:r>
        <w:drawing>
          <wp:inline distT="0" distB="0" distL="0" distR="0">
            <wp:extent cx="5667375" cy="2619375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19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</w:pPr>
      <w:bookmarkStart w:id="34" w:name="_Toc16531"/>
      <w:r>
        <w:rPr>
          <w:rFonts w:hint="eastAsia"/>
        </w:rPr>
        <w:t>峰值</w:t>
      </w:r>
      <w:r>
        <w:t>工况</w:t>
      </w:r>
      <w:bookmarkEnd w:id="34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焓值(kj/kg)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最热</w:t>
            </w:r>
          </w:p>
        </w:tc>
        <w:tc>
          <w:tcPr>
            <w:vAlign w:val="center"/>
          </w:tcPr>
          <w:p>
            <w:r>
              <w:t>08月02日15时</w:t>
            </w:r>
          </w:p>
        </w:tc>
        <w:tc>
          <w:tcPr>
            <w:vAlign w:val="center"/>
          </w:tcPr>
          <w:p>
            <w:r>
              <w:t>40.6</w:t>
            </w:r>
          </w:p>
        </w:tc>
        <w:tc>
          <w:tcPr>
            <w:vAlign w:val="center"/>
          </w:tcPr>
          <w:p>
            <w:r>
              <w:t>26.7</w:t>
            </w:r>
          </w:p>
        </w:tc>
        <w:tc>
          <w:tcPr>
            <w:vAlign w:val="center"/>
          </w:tcPr>
          <w:p>
            <w:r>
              <w:t>17.1</w:t>
            </w:r>
          </w:p>
        </w:tc>
        <w:tc>
          <w:tcPr>
            <w:vAlign w:val="center"/>
          </w:tcPr>
          <w:p>
            <w:r>
              <w:t>84.8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最冷</w:t>
            </w:r>
          </w:p>
        </w:tc>
        <w:tc>
          <w:tcPr>
            <w:vAlign w:val="center"/>
          </w:tcPr>
          <w:p>
            <w:r>
              <w:t>01月10日06时</w:t>
            </w:r>
          </w:p>
        </w:tc>
        <w:tc>
          <w:tcPr>
            <w:vAlign w:val="center"/>
          </w:tcPr>
          <w:p>
            <w:r>
              <w:t>-1.1</w:t>
            </w:r>
          </w:p>
        </w:tc>
        <w:tc>
          <w:tcPr>
            <w:vAlign w:val="center"/>
          </w:tcPr>
          <w:p>
            <w:r>
              <w:t>-1.1</w:t>
            </w:r>
          </w:p>
        </w:tc>
        <w:tc>
          <w:tcPr>
            <w:vAlign w:val="center"/>
          </w:tcPr>
          <w:p>
            <w:r>
              <w:t>3.4</w:t>
            </w:r>
          </w:p>
        </w:tc>
        <w:tc>
          <w:tcPr>
            <w:vAlign w:val="center"/>
          </w:tcPr>
          <w:p>
            <w:r>
              <w:t>7.4</w:t>
            </w:r>
          </w:p>
        </w:tc>
      </w:tr>
    </w:tbl>
    <w:p>
      <w:pPr>
        <w:rPr>
          <w:kern w:val="2"/>
          <w:szCs w:val="24"/>
          <w:lang w:val="en-US"/>
        </w:rPr>
      </w:pPr>
      <w:bookmarkStart w:id="35" w:name="气象峰值工况"/>
      <w:bookmarkEnd w:id="35"/>
    </w:p>
    <w:p>
      <w:pPr>
        <w:pStyle w:val="2"/>
      </w:pPr>
      <w:bookmarkStart w:id="36" w:name="_Toc2675"/>
      <w:r>
        <w:rPr>
          <w:rFonts w:hint="eastAsia"/>
        </w:rPr>
        <w:t>软件介绍</w:t>
      </w:r>
      <w:bookmarkEnd w:id="36"/>
    </w:p>
    <w:p>
      <w:pPr>
        <w:widowControl w:val="0"/>
        <w:ind w:firstLine="420"/>
      </w:pPr>
      <w:r>
        <w:rPr>
          <w:rFonts w:hint="eastAsia"/>
        </w:rPr>
        <w:t>本报告采用的软件为绿建</w:t>
      </w:r>
      <w:bookmarkStart w:id="37" w:name="软件全称＃2"/>
      <w:r>
        <w:rPr>
          <w:rFonts w:hint="eastAsia"/>
        </w:rPr>
        <w:t>暖通负荷BECH2025通负荷BECH2018</w:t>
      </w:r>
      <w:bookmarkEnd w:id="37"/>
      <w:r>
        <w:rPr>
          <w:rFonts w:hint="eastAsia"/>
        </w:rPr>
        <w:t>，该软件紧密结合暖通和节能设计规范、可根据项目实际情况建立建筑热工模型，并可对围护结构材料、房间内扰发热、作息时间表、热回收方式等参数进行设置。</w:t>
      </w:r>
    </w:p>
    <w:p>
      <w:pPr>
        <w:widowControl w:val="0"/>
        <w:ind w:firstLine="420"/>
      </w:pPr>
      <w:r>
        <w:rPr>
          <w:rFonts w:hint="eastAsia"/>
        </w:rPr>
        <w:t>软件包含全国各地典型气象年数据，内置</w:t>
      </w:r>
      <w:r>
        <w:t>DOE2.1E</w:t>
      </w:r>
      <w:r>
        <w:rPr>
          <w:rFonts w:hint="eastAsia"/>
        </w:rPr>
        <w:t>内核，对于建筑的逐时负荷进行动态模拟，既可以模拟</w:t>
      </w:r>
      <w:r>
        <w:t>8760</w:t>
      </w:r>
      <w:r>
        <w:rPr>
          <w:rFonts w:hint="eastAsia"/>
        </w:rPr>
        <w:t>小时理想负荷，也可以根据设定好的采暖期</w:t>
      </w:r>
      <w:r>
        <w:t>/</w:t>
      </w:r>
      <w:r>
        <w:rPr>
          <w:rFonts w:hint="eastAsia"/>
        </w:rPr>
        <w:t>空调期进行逐时模拟。</w:t>
      </w:r>
    </w:p>
    <w:p>
      <w:pPr>
        <w:widowControl w:val="0"/>
        <w:ind w:firstLine="420"/>
      </w:pPr>
      <w:r>
        <w:rPr>
          <w:rFonts w:hint="eastAsia"/>
        </w:rPr>
        <w:t>软件还支持分析全年建筑能耗的来源构成，依据日射得热、新风负荷、围护传热和内扰得热进行归类分项，生成设计建筑全年负荷计算报告书，提供详实的数据和多样的图表，为设计师在设备选型、制定运行策略等方面提供参考和帮助。</w:t>
      </w:r>
    </w:p>
    <w:p>
      <w:pPr>
        <w:pStyle w:val="2"/>
      </w:pPr>
      <w:bookmarkStart w:id="38" w:name="_Toc25163"/>
      <w:r>
        <w:rPr>
          <w:rFonts w:hint="eastAsia"/>
        </w:rPr>
        <w:t>围护</w:t>
      </w:r>
      <w:r>
        <w:t>结构</w:t>
      </w:r>
      <w:bookmarkEnd w:id="38"/>
    </w:p>
    <w:p>
      <w:pPr>
        <w:pStyle w:val="4"/>
        <w:widowControl w:val="0"/>
        <w:rPr>
          <w:kern w:val="2"/>
          <w:szCs w:val="24"/>
          <w:lang w:val="en-US"/>
        </w:rPr>
      </w:pPr>
      <w:bookmarkStart w:id="39" w:name="围护结构"/>
      <w:bookmarkEnd w:id="39"/>
      <w:bookmarkStart w:id="40" w:name="_Toc2059"/>
      <w:r>
        <w:rPr>
          <w:kern w:val="2"/>
          <w:szCs w:val="24"/>
          <w:lang w:val="en-US"/>
        </w:rPr>
        <w:t>屋顶构造</w:t>
      </w:r>
      <w:bookmarkEnd w:id="40"/>
    </w:p>
    <w:p>
      <w:pPr>
        <w:pStyle w:val="5"/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屋顶构造一（上人倒置式屋面）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C20细石混凝土保护层，内配Φ4@100双向钢筋网片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15.360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0.033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0.509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干铺聚酯无纺布一层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难燃型挤塑聚苯板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0.540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1.25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2.267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1.530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SBS改性沥青防水卷材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9.370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0.011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0.122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非固化橡胶沥青防水涂料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9.370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0.081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1：2.5水泥砂浆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粉煤灰陶粒混凝土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11.400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0.032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0.360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1.186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石灰水泥砂浆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0.011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0.124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2.451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4.157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0.38</w:t>
            </w:r>
          </w:p>
        </w:tc>
      </w:tr>
    </w:tbl>
    <w:p>
      <w:pPr>
        <w:pStyle w:val="4"/>
        <w:widowControl w:val="0"/>
        <w:rPr>
          <w:kern w:val="2"/>
          <w:szCs w:val="24"/>
          <w:lang w:val="en-US"/>
        </w:rPr>
      </w:pPr>
      <w:bookmarkStart w:id="41" w:name="_Toc26081"/>
      <w:r>
        <w:rPr>
          <w:kern w:val="2"/>
          <w:szCs w:val="24"/>
          <w:lang w:val="en-US"/>
        </w:rPr>
        <w:t>外墙构造</w:t>
      </w:r>
      <w:bookmarkEnd w:id="41"/>
    </w:p>
    <w:p>
      <w:pPr>
        <w:pStyle w:val="5"/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外墙（填充墙）构造一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岩棉保温装饰复合一体板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0.750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0.750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聚氨酯防水涂料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6.070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0.061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聚合物水泥防水砂浆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0.073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重砂浆砌筑烧结页岩多孔砖/空心砖墙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0.580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7.920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0.431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3.414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342.5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1.490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4.787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0.61</w:t>
            </w:r>
          </w:p>
        </w:tc>
      </w:tr>
    </w:tbl>
    <w:p>
      <w:pPr>
        <w:pStyle w:val="4"/>
        <w:widowControl w:val="0"/>
        <w:rPr>
          <w:kern w:val="2"/>
          <w:szCs w:val="24"/>
          <w:lang w:val="en-US"/>
        </w:rPr>
      </w:pPr>
      <w:bookmarkStart w:id="42" w:name="_Toc6736"/>
      <w:r>
        <w:rPr>
          <w:kern w:val="2"/>
          <w:szCs w:val="24"/>
          <w:lang w:val="en-US"/>
        </w:rPr>
        <w:t>挑空楼板构造</w:t>
      </w:r>
      <w:bookmarkEnd w:id="42"/>
    </w:p>
    <w:p>
      <w:pPr>
        <w:pStyle w:val="5"/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挑空楼板构造一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0.048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0.550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0.063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1.087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0.048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0.550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岩棉保温装饰复合一体板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0.750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1.111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1.271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3.188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0.70</w:t>
            </w:r>
          </w:p>
        </w:tc>
      </w:tr>
    </w:tbl>
    <w:p>
      <w:pPr>
        <w:pStyle w:val="4"/>
        <w:widowControl w:val="0"/>
        <w:rPr>
          <w:kern w:val="2"/>
          <w:szCs w:val="24"/>
          <w:lang w:val="en-US"/>
        </w:rPr>
      </w:pPr>
      <w:bookmarkStart w:id="43" w:name="_Toc8606"/>
      <w:r>
        <w:rPr>
          <w:kern w:val="2"/>
          <w:szCs w:val="24"/>
          <w:lang w:val="en-US"/>
        </w:rPr>
        <w:t>楼板构造</w:t>
      </w:r>
      <w:bookmarkEnd w:id="43"/>
    </w:p>
    <w:p>
      <w:pPr>
        <w:pStyle w:val="5"/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控温房间楼板构造一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0.075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1.285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0.096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1.530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传热系数K=1/(0.22+∑R)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3.16</w:t>
            </w:r>
          </w:p>
        </w:tc>
      </w:tr>
    </w:tbl>
    <w:p>
      <w:pPr>
        <w:pStyle w:val="4"/>
        <w:widowControl w:val="0"/>
        <w:rPr>
          <w:kern w:val="2"/>
          <w:szCs w:val="24"/>
          <w:lang w:val="en-US"/>
        </w:rPr>
      </w:pPr>
      <w:bookmarkStart w:id="44" w:name="_Toc12940"/>
      <w:r>
        <w:rPr>
          <w:kern w:val="2"/>
          <w:szCs w:val="24"/>
          <w:lang w:val="en-US"/>
        </w:rPr>
        <w:t>周边地面构造</w:t>
      </w:r>
      <w:bookmarkEnd w:id="44"/>
    </w:p>
    <w:p>
      <w:pPr>
        <w:pStyle w:val="5"/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周边地面构造一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1.186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0.090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1.431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传热系数K=1/(0.11+∑R)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0.52</w:t>
            </w:r>
          </w:p>
        </w:tc>
      </w:tr>
    </w:tbl>
    <w:p>
      <w:pPr>
        <w:pStyle w:val="4"/>
        <w:widowControl w:val="0"/>
        <w:rPr>
          <w:kern w:val="2"/>
          <w:szCs w:val="24"/>
          <w:lang w:val="en-US"/>
        </w:rPr>
      </w:pPr>
      <w:bookmarkStart w:id="45" w:name="_Toc3372"/>
      <w:r>
        <w:rPr>
          <w:kern w:val="2"/>
          <w:szCs w:val="24"/>
          <w:lang w:val="en-US"/>
        </w:rPr>
        <w:t>非周边地面构造</w:t>
      </w:r>
      <w:bookmarkEnd w:id="45"/>
    </w:p>
    <w:p>
      <w:pPr>
        <w:pStyle w:val="5"/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非周边地面构造一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1.186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0.090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1.431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传热系数K=1/(0.11+∑R)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0.30</w:t>
            </w:r>
          </w:p>
        </w:tc>
      </w:tr>
    </w:tbl>
    <w:p>
      <w:pPr>
        <w:pStyle w:val="4"/>
        <w:widowControl w:val="0"/>
        <w:rPr>
          <w:kern w:val="2"/>
          <w:szCs w:val="24"/>
          <w:lang w:val="en-US"/>
        </w:rPr>
      </w:pPr>
      <w:bookmarkStart w:id="46" w:name="_Toc3907"/>
      <w:r>
        <w:rPr>
          <w:kern w:val="2"/>
          <w:szCs w:val="24"/>
          <w:lang w:val="en-US"/>
        </w:rPr>
        <w:t>地下墙构造</w:t>
      </w:r>
      <w:bookmarkEnd w:id="46"/>
    </w:p>
    <w:p>
      <w:pPr>
        <w:pStyle w:val="5"/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地下墙构造一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1.977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石灰砂浆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0.025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2.226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传热系数K=1/(0.11+∑R)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4.01</w:t>
            </w:r>
          </w:p>
        </w:tc>
      </w:tr>
    </w:tbl>
    <w:p>
      <w:pPr>
        <w:pStyle w:val="4"/>
        <w:widowControl w:val="0"/>
        <w:rPr>
          <w:kern w:val="2"/>
          <w:szCs w:val="24"/>
          <w:lang w:val="en-US"/>
        </w:rPr>
      </w:pPr>
      <w:bookmarkStart w:id="47" w:name="_Toc25740"/>
      <w:r>
        <w:rPr>
          <w:kern w:val="2"/>
          <w:szCs w:val="24"/>
          <w:lang w:val="en-US"/>
        </w:rPr>
        <w:t>门构造</w:t>
      </w:r>
      <w:bookmarkEnd w:id="47"/>
    </w:p>
    <w:tbl>
      <w:tblPr>
        <w:tblStyle w:val="18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3667"/>
        <w:gridCol w:w="1460"/>
        <w:gridCol w:w="356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保温门（多功能门）</w:t>
            </w:r>
          </w:p>
        </w:tc>
        <w:tc>
          <w:tcPr>
            <w:vAlign w:val="center"/>
          </w:tcPr>
          <w:p>
            <w:r>
              <w:t>2.500</w:t>
            </w:r>
          </w:p>
        </w:tc>
        <w:tc>
          <w:tcPr>
            <w:vAlign w:val="center"/>
          </w:tcPr>
          <w:p/>
        </w:tc>
      </w:tr>
    </w:tbl>
    <w:p>
      <w:pPr>
        <w:pStyle w:val="4"/>
      </w:pPr>
      <w:bookmarkStart w:id="48" w:name="_Toc23987"/>
      <w:r>
        <w:t>窗构造</w:t>
      </w:r>
      <w:bookmarkEnd w:id="48"/>
    </w:p>
    <w:tbl>
      <w:tblPr>
        <w:tblStyle w:val="18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2694"/>
        <w:gridCol w:w="832"/>
        <w:gridCol w:w="956"/>
        <w:gridCol w:w="956"/>
        <w:gridCol w:w="298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窗遮阳系数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可见光透射比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断桥铝合金型材14.8mm 6 中透光三银 Low-E+12Ar+6 透明(暖边间隔条)</w:t>
            </w:r>
          </w:p>
        </w:tc>
        <w:tc>
          <w:tcPr>
            <w:vAlign w:val="center"/>
          </w:tcPr>
          <w:p>
            <w:r>
              <w:t>2.170</w:t>
            </w:r>
          </w:p>
        </w:tc>
        <w:tc>
          <w:tcPr>
            <w:vAlign w:val="center"/>
          </w:tcPr>
          <w:p>
            <w:r>
              <w:t>0.264</w:t>
            </w:r>
          </w:p>
        </w:tc>
        <w:tc>
          <w:tcPr>
            <w:vAlign w:val="center"/>
          </w:tcPr>
          <w:p>
            <w:r>
              <w:t>0.500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塑钢型材窗 6 中透光双银 Low-E+12A+6 透明(暖边间隔条)</w:t>
            </w:r>
          </w:p>
        </w:tc>
        <w:tc>
          <w:tcPr>
            <w:vAlign w:val="center"/>
          </w:tcPr>
          <w:p>
            <w:r>
              <w:t>2.140</w:t>
            </w:r>
          </w:p>
        </w:tc>
        <w:tc>
          <w:tcPr>
            <w:vAlign w:val="center"/>
          </w:tcPr>
          <w:p>
            <w:r>
              <w:t>0.299</w:t>
            </w:r>
          </w:p>
        </w:tc>
        <w:tc>
          <w:tcPr>
            <w:vAlign w:val="center"/>
          </w:tcPr>
          <w:p>
            <w:r>
              <w:t>0.510</w:t>
            </w:r>
          </w:p>
        </w:tc>
        <w:tc>
          <w:tcPr>
            <w:vAlign w:val="center"/>
          </w:tcPr>
          <w:p/>
        </w:tc>
      </w:tr>
    </w:tbl>
    <w:p>
      <w:pPr>
        <w:pStyle w:val="2"/>
      </w:pPr>
      <w:bookmarkStart w:id="49" w:name="_Toc9254"/>
      <w:r>
        <w:t>房间类型</w:t>
      </w:r>
      <w:bookmarkEnd w:id="49"/>
    </w:p>
    <w:p>
      <w:pPr>
        <w:pStyle w:val="4"/>
        <w:widowControl w:val="0"/>
        <w:rPr>
          <w:kern w:val="2"/>
          <w:szCs w:val="24"/>
          <w:lang w:val="en-US"/>
        </w:rPr>
      </w:pPr>
      <w:bookmarkStart w:id="50" w:name="_Toc9285"/>
      <w:r>
        <w:rPr>
          <w:kern w:val="2"/>
          <w:szCs w:val="24"/>
          <w:lang w:val="en-US"/>
        </w:rPr>
        <w:t>房间参数表</w:t>
      </w:r>
      <w:bookmarkEnd w:id="50"/>
    </w:p>
    <w:tbl>
      <w:tblPr>
        <w:tblStyle w:val="18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2"/>
        <w:gridCol w:w="781"/>
        <w:gridCol w:w="781"/>
        <w:gridCol w:w="1618"/>
        <w:gridCol w:w="1369"/>
        <w:gridCol w:w="1369"/>
        <w:gridCol w:w="155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空调温度</w:t>
            </w:r>
            <w:r>
              <w:br w:type="textWrapping"/>
            </w:r>
            <w:r>
              <w:t>℃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供暖温度</w:t>
            </w:r>
            <w:r>
              <w:br w:type="textWrapping"/>
            </w:r>
            <w:r>
              <w:t>℃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会议室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14(m^3/h.人)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2.5(m^2/人)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8(W/m^2)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15(W/m^2)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办公-其它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30(m^3/h.人)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20(m^2/人)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11(W/m^2)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5(W/m^2)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卫生间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20(m^3/h.人)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20(m^2/人)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5(W/m^2)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15(W/m^2)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卫生间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30(m^3/h.人)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8(m^2/人)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8(W/m^2)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15(W/m^2)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卫生间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0(m^3/h.人)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5(W/m^2)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13(W/m^2)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大厅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30(m^3/h.人)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8(m^2/人)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8(W/m^2)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15(W/m^2)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大厅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20(m^3/h.人)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30(m^2/人)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10(W/m^2)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15(W/m^2)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展览馆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30(m^3/h.人)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8(m^2/人)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9(W/m^2)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15(W/m^2)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库房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30(m^3/h.人)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8(m^2/人)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8(W/m^2)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15(W/m^2)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开架书库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30(m^3/h.人)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8(m^2/人)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8(W/m^2)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15(W/m^2)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报告厅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14(m^3/h.人)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2.5(m^2/人)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8(W/m^2)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15(W/m^2)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文印间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0(m^3/h.人)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20(m^2/人)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8(W/m^2)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15(W/m^2)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普通办公室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30(m^3/h.人)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8(m^2/人)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8(W/m^2)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15(W/m^2)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档案室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30(m^3/h.人)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8(m^2/人)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6(W/m^2)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15(W/m^2)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楼梯间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0(m^3/h.人)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3.5(W/m^2)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15(W/m^2)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楼梯间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30(m^3/h.人)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8(m^2/人)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8(W/m^2)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15(W/m^2)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楼梯间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30(m^3/h.人)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8(m^2/人)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9(W/m^2)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15(W/m^2)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楼梯间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0(m^3/h.人)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50(m^2/人)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3.5(W/m^2)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13(W/m^2)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电子信息机房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0(m^3/h.人)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20(m^2/人)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13.5(W/m^2)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15(W/m^2)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空房间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20(m^3/h.人)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0(W/m^2)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0(W/m^2)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空房间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20(m^3/h.人)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0(W/m^2)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0(W/m^2)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设备间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6(W/m^2)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15(W/m^2)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设备间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6(W/m^2)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15(W/m^2)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设备间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6(W/m^2)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15(W/m^2)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走廊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20(m^3/h.人)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50(m^2/人)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3.5(W/m^2)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15(W/m^2)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走廊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30(m^3/h.人)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8(m^2/人)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8(W/m^2)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15(W/m^2)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走廊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0(m^3/h.人)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50(m^2/人)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3.5(W/m^2)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13(W/m^2)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阅览室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30(m^3/h.人)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8(m^2/人)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8(W/m^2)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15(W/m^2)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阅览室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30(m^3/h.人)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8(m^2/人)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8(W/m^2)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15(W/m^2)</w:t>
            </w:r>
          </w:p>
        </w:tc>
      </w:tr>
    </w:tbl>
    <w:p>
      <w:pPr>
        <w:pStyle w:val="4"/>
        <w:widowControl w:val="0"/>
        <w:rPr>
          <w:kern w:val="2"/>
          <w:szCs w:val="24"/>
          <w:lang w:val="en-US"/>
        </w:rPr>
      </w:pPr>
      <w:bookmarkStart w:id="51" w:name="_Toc11764"/>
      <w:r>
        <w:rPr>
          <w:kern w:val="2"/>
          <w:szCs w:val="24"/>
          <w:lang w:val="en-US"/>
        </w:rPr>
        <w:t>作息时间表</w:t>
      </w:r>
      <w:bookmarkEnd w:id="51"/>
    </w:p>
    <w:p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详见附录</w:t>
      </w:r>
    </w:p>
    <w:p>
      <w:pPr>
        <w:pStyle w:val="2"/>
        <w:widowControl w:val="0"/>
        <w:rPr>
          <w:kern w:val="2"/>
          <w:szCs w:val="24"/>
          <w:lang w:val="en-US"/>
        </w:rPr>
      </w:pPr>
      <w:bookmarkStart w:id="52" w:name="_Toc9585"/>
      <w:r>
        <w:rPr>
          <w:kern w:val="2"/>
          <w:szCs w:val="24"/>
          <w:lang w:val="en-US"/>
        </w:rPr>
        <w:t>系统设置</w:t>
      </w:r>
      <w:bookmarkEnd w:id="52"/>
    </w:p>
    <w:p>
      <w:pPr>
        <w:pStyle w:val="4"/>
        <w:widowControl w:val="0"/>
        <w:rPr>
          <w:kern w:val="2"/>
          <w:szCs w:val="24"/>
          <w:lang w:val="en-US"/>
        </w:rPr>
      </w:pPr>
      <w:bookmarkStart w:id="53" w:name="_Toc10574"/>
      <w:r>
        <w:rPr>
          <w:kern w:val="2"/>
          <w:szCs w:val="24"/>
          <w:lang w:val="en-US"/>
        </w:rPr>
        <w:t>系统划分</w:t>
      </w:r>
      <w:bookmarkEnd w:id="53"/>
    </w:p>
    <w:tbl>
      <w:tblPr>
        <w:tblStyle w:val="18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131"/>
        <w:gridCol w:w="1528"/>
        <w:gridCol w:w="1018"/>
        <w:gridCol w:w="735"/>
        <w:gridCol w:w="956"/>
        <w:gridCol w:w="283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热回收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启动</w:t>
            </w:r>
            <w:r>
              <w:br w:type="textWrapping"/>
            </w:r>
            <w:r>
              <w:t>条件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回收</w:t>
            </w:r>
            <w:r>
              <w:br w:type="textWrapping"/>
            </w:r>
            <w:r>
              <w:t>效率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排风</w:t>
            </w:r>
            <w:r>
              <w:br w:type="textWrapping"/>
            </w:r>
            <w:r>
              <w:t>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面积(m2)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包含的房间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自动</w:t>
            </w:r>
          </w:p>
        </w:tc>
        <w:tc>
          <w:tcPr>
            <w:vAlign w:val="center"/>
          </w:tcPr>
          <w:p>
            <w:r>
              <w:t>无</w:t>
            </w:r>
          </w:p>
        </w:tc>
        <w:tc>
          <w:tcPr>
            <w:vAlign w:val="center"/>
          </w:tcPr>
          <w:p>
            <w:r>
              <w:t>--</w:t>
            </w:r>
          </w:p>
        </w:tc>
        <w:tc>
          <w:tcPr>
            <w:vAlign w:val="center"/>
          </w:tcPr>
          <w:p>
            <w:r>
              <w:t>--</w:t>
            </w:r>
          </w:p>
        </w:tc>
        <w:tc>
          <w:tcPr>
            <w:vAlign w:val="center"/>
          </w:tcPr>
          <w:p>
            <w:r>
              <w:t>--</w:t>
            </w:r>
          </w:p>
        </w:tc>
        <w:tc>
          <w:tcPr>
            <w:vAlign w:val="center"/>
          </w:tcPr>
          <w:p>
            <w:r>
              <w:t>33789.95</w:t>
            </w:r>
          </w:p>
        </w:tc>
        <w:tc>
          <w:tcPr>
            <w:vAlign w:val="center"/>
          </w:tcPr>
          <w:p>
            <w:r>
              <w:t>所有房间</w:t>
            </w:r>
          </w:p>
        </w:tc>
      </w:tr>
    </w:tbl>
    <w:p>
      <w:pPr>
        <w:pStyle w:val="4"/>
        <w:widowControl w:val="0"/>
        <w:rPr>
          <w:kern w:val="2"/>
          <w:szCs w:val="24"/>
          <w:lang w:val="en-US"/>
        </w:rPr>
      </w:pPr>
      <w:bookmarkStart w:id="54" w:name="_Toc9962"/>
      <w:r>
        <w:rPr>
          <w:kern w:val="2"/>
          <w:szCs w:val="24"/>
          <w:lang w:val="en-US"/>
        </w:rPr>
        <w:t>运行时间表</w:t>
      </w:r>
      <w:bookmarkEnd w:id="54"/>
    </w:p>
    <w:p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详见附录</w:t>
      </w:r>
    </w:p>
    <w:p>
      <w:pPr>
        <w:pStyle w:val="2"/>
        <w:widowControl w:val="0"/>
        <w:rPr>
          <w:kern w:val="2"/>
          <w:szCs w:val="24"/>
          <w:lang w:val="en-US"/>
        </w:rPr>
      </w:pPr>
      <w:bookmarkStart w:id="55" w:name="_Toc31213"/>
      <w:r>
        <w:rPr>
          <w:kern w:val="2"/>
          <w:szCs w:val="24"/>
          <w:lang w:val="en-US"/>
        </w:rPr>
        <w:t>计算结果</w:t>
      </w:r>
      <w:bookmarkEnd w:id="55"/>
    </w:p>
    <w:p>
      <w:pPr>
        <w:pStyle w:val="4"/>
        <w:widowControl w:val="0"/>
        <w:rPr>
          <w:kern w:val="2"/>
          <w:szCs w:val="24"/>
          <w:lang w:val="en-US"/>
        </w:rPr>
      </w:pPr>
      <w:bookmarkStart w:id="56" w:name="_Toc9999"/>
      <w:r>
        <w:rPr>
          <w:kern w:val="2"/>
          <w:szCs w:val="24"/>
          <w:lang w:val="en-US"/>
        </w:rPr>
        <w:t>模拟周期</w:t>
      </w:r>
      <w:bookmarkEnd w:id="56"/>
    </w:p>
    <w:p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全年8760小时模拟</w:t>
      </w:r>
    </w:p>
    <w:p>
      <w:pPr>
        <w:pStyle w:val="4"/>
        <w:widowControl w:val="0"/>
        <w:rPr>
          <w:kern w:val="2"/>
          <w:szCs w:val="24"/>
          <w:lang w:val="en-US"/>
        </w:rPr>
      </w:pPr>
      <w:bookmarkStart w:id="57" w:name="_Toc20501"/>
      <w:r>
        <w:rPr>
          <w:kern w:val="2"/>
          <w:szCs w:val="24"/>
          <w:lang w:val="en-US"/>
        </w:rPr>
        <w:t>全年冷暖需求</w:t>
      </w:r>
      <w:bookmarkEnd w:id="57"/>
    </w:p>
    <w:tbl>
      <w:tblPr>
        <w:tblStyle w:val="18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5"/>
        <w:gridCol w:w="1839"/>
        <w:gridCol w:w="1839"/>
        <w:gridCol w:w="1839"/>
        <w:gridCol w:w="183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系统名称\负荷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供暖需求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供暖指标</w:t>
            </w:r>
            <w:r>
              <w:br w:type="textWrapping"/>
            </w:r>
            <w:r>
              <w:t>kWh/(㎡·a)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供冷需求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供冷指标</w:t>
            </w:r>
            <w:r>
              <w:br w:type="textWrapping"/>
            </w:r>
            <w:r>
              <w:t>kWh/(㎡·a)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建筑总计</w:t>
            </w:r>
          </w:p>
        </w:tc>
        <w:tc>
          <w:tcPr>
            <w:vAlign w:val="center"/>
          </w:tcPr>
          <w:p>
            <w:r>
              <w:t>286501</w:t>
            </w:r>
          </w:p>
        </w:tc>
        <w:tc>
          <w:tcPr>
            <w:vAlign w:val="center"/>
          </w:tcPr>
          <w:p>
            <w:r>
              <w:t>7.61</w:t>
            </w:r>
          </w:p>
        </w:tc>
        <w:tc>
          <w:tcPr>
            <w:vAlign w:val="center"/>
          </w:tcPr>
          <w:p>
            <w:r>
              <w:t>2402831</w:t>
            </w:r>
          </w:p>
        </w:tc>
        <w:tc>
          <w:tcPr>
            <w:vAlign w:val="center"/>
          </w:tcPr>
          <w:p>
            <w:r>
              <w:t>63.84</w:t>
            </w:r>
          </w:p>
        </w:tc>
      </w:tr>
    </w:tbl>
    <w:p>
      <w:r>
        <w:drawing>
          <wp:inline distT="0" distB="0" distL="0" distR="0">
            <wp:extent cx="5667375" cy="2743200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6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>
      <w:pPr>
        <w:pStyle w:val="4"/>
        <w:widowControl w:val="0"/>
        <w:rPr>
          <w:kern w:val="2"/>
          <w:szCs w:val="24"/>
          <w:lang w:val="en-US"/>
        </w:rPr>
      </w:pPr>
      <w:bookmarkStart w:id="58" w:name="_Toc6896"/>
      <w:r>
        <w:rPr>
          <w:kern w:val="2"/>
          <w:szCs w:val="24"/>
          <w:lang w:val="en-US"/>
        </w:rPr>
        <w:t>负荷分项统计</w:t>
      </w:r>
      <w:bookmarkEnd w:id="58"/>
    </w:p>
    <w:tbl>
      <w:tblPr>
        <w:tblStyle w:val="18"/>
        <w:tblW w:w="929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9"/>
        <w:gridCol w:w="1131"/>
        <w:gridCol w:w="1131"/>
        <w:gridCol w:w="990"/>
        <w:gridCol w:w="1228"/>
        <w:gridCol w:w="1177"/>
        <w:gridCol w:w="990"/>
        <w:gridCol w:w="110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不利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有利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热回收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合计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供暖(kWh/㎡)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-7.87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4.93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0.50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-5.17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—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r>
              <w:t>-7.61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供冷(kWh/㎡)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16.97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29.22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2.74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18.06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-3.15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r>
              <w:t>63.84</w:t>
            </w:r>
          </w:p>
        </w:tc>
      </w:tr>
    </w:tbl>
    <w:p>
      <w:pPr>
        <w:jc w:val="center"/>
      </w:pPr>
      <w:r>
        <w:drawing>
          <wp:inline distT="0" distB="0" distL="0" distR="0">
            <wp:extent cx="5667375" cy="3067050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7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67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drawing>
          <wp:inline distT="0" distB="0" distL="0" distR="0">
            <wp:extent cx="5667375" cy="3019425"/>
            <wp:effectExtent l="0" t="0" r="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38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19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</w:pPr>
      <w:bookmarkStart w:id="59" w:name="_Toc8970"/>
      <w:r>
        <w:t>逐月负荷表</w:t>
      </w:r>
      <w:bookmarkEnd w:id="59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188"/>
        <w:gridCol w:w="1188"/>
        <w:gridCol w:w="1188"/>
        <w:gridCol w:w="1862"/>
        <w:gridCol w:w="1188"/>
        <w:gridCol w:w="186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月份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right"/>
            </w:pPr>
            <w:r>
              <w:t>供暖(kWh)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right"/>
            </w:pPr>
            <w:r>
              <w:t>供冷(kWh)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right"/>
            </w:pPr>
            <w:r>
              <w:t>热负荷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热负荷</w:t>
            </w:r>
            <w:r>
              <w:br w:type="textWrapping"/>
            </w:r>
            <w:r>
              <w:t>峰值时刻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right"/>
            </w:pPr>
            <w:r>
              <w:t>冷负荷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冷负荷</w:t>
            </w:r>
            <w:r>
              <w:br w:type="textWrapping"/>
            </w:r>
            <w:r>
              <w:t>峰值时刻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1月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125490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color w:val="FF0000"/>
              </w:rPr>
              <w:t>2497.966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1月2日7时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8.425</w:t>
            </w:r>
          </w:p>
        </w:tc>
        <w:tc>
          <w:tcPr>
            <w:vAlign w:val="center"/>
          </w:tcPr>
          <w:p>
            <w:r>
              <w:t>1月31日15时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2月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41229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138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1522.046</w:t>
            </w:r>
          </w:p>
        </w:tc>
        <w:tc>
          <w:tcPr>
            <w:vAlign w:val="center"/>
          </w:tcPr>
          <w:p>
            <w:r>
              <w:t>2月4日7时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18.596</w:t>
            </w:r>
          </w:p>
        </w:tc>
        <w:tc>
          <w:tcPr>
            <w:vAlign w:val="center"/>
          </w:tcPr>
          <w:p>
            <w:r>
              <w:t>2月8日15时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3月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39954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5842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847.372</w:t>
            </w:r>
          </w:p>
        </w:tc>
        <w:tc>
          <w:tcPr>
            <w:vAlign w:val="center"/>
          </w:tcPr>
          <w:p>
            <w:r>
              <w:t>3月4日7时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455.414</w:t>
            </w:r>
          </w:p>
        </w:tc>
        <w:tc>
          <w:tcPr>
            <w:vAlign w:val="center"/>
          </w:tcPr>
          <w:p>
            <w:r>
              <w:t>3月8日15时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4月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26517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48891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553.480</w:t>
            </w:r>
          </w:p>
        </w:tc>
        <w:tc>
          <w:tcPr>
            <w:vAlign w:val="center"/>
          </w:tcPr>
          <w:p>
            <w:r>
              <w:t>4月5日7时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1389.852</w:t>
            </w:r>
          </w:p>
        </w:tc>
        <w:tc>
          <w:tcPr>
            <w:vAlign w:val="center"/>
          </w:tcPr>
          <w:p>
            <w:r>
              <w:t>4月18日13时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5月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3834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258218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99.528</w:t>
            </w:r>
          </w:p>
        </w:tc>
        <w:tc>
          <w:tcPr>
            <w:vAlign w:val="center"/>
          </w:tcPr>
          <w:p>
            <w:r>
              <w:t>5月2日7时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1988.180</w:t>
            </w:r>
          </w:p>
        </w:tc>
        <w:tc>
          <w:tcPr>
            <w:vAlign w:val="center"/>
          </w:tcPr>
          <w:p>
            <w:r>
              <w:t>5月24日15时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6月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1278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338828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17.581</w:t>
            </w:r>
          </w:p>
        </w:tc>
        <w:tc>
          <w:tcPr>
            <w:vAlign w:val="center"/>
          </w:tcPr>
          <w:p>
            <w:r>
              <w:t>6月13日7时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2300.126</w:t>
            </w:r>
          </w:p>
        </w:tc>
        <w:tc>
          <w:tcPr>
            <w:vAlign w:val="center"/>
          </w:tcPr>
          <w:p>
            <w:r>
              <w:t>6月27日15时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7月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571488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2.775</w:t>
            </w:r>
          </w:p>
        </w:tc>
        <w:tc>
          <w:tcPr>
            <w:vAlign w:val="center"/>
          </w:tcPr>
          <w:p>
            <w:r>
              <w:t>7月1日7时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3046.792</w:t>
            </w:r>
          </w:p>
        </w:tc>
        <w:tc>
          <w:tcPr>
            <w:vAlign w:val="center"/>
          </w:tcPr>
          <w:p>
            <w:r>
              <w:t>7月22日7时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8月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580729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color w:val="0000FF"/>
              </w:rPr>
              <w:t>3686.517</w:t>
            </w:r>
          </w:p>
        </w:tc>
        <w:tc>
          <w:tcPr>
            <w:vAlign w:val="center"/>
          </w:tcPr>
          <w:p>
            <w:r>
              <w:rPr>
                <w:color w:val="0000FF"/>
              </w:rPr>
              <w:t>8月5日7时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9月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345689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2654.124</w:t>
            </w:r>
          </w:p>
        </w:tc>
        <w:tc>
          <w:tcPr>
            <w:vAlign w:val="center"/>
          </w:tcPr>
          <w:p>
            <w:r>
              <w:t>9月9日15时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10月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182992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1818.913</w:t>
            </w:r>
          </w:p>
        </w:tc>
        <w:tc>
          <w:tcPr>
            <w:vAlign w:val="center"/>
          </w:tcPr>
          <w:p>
            <w:r>
              <w:t>10月4日14时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11月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621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67217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46.546</w:t>
            </w:r>
          </w:p>
        </w:tc>
        <w:tc>
          <w:tcPr>
            <w:vAlign w:val="center"/>
          </w:tcPr>
          <w:p>
            <w:r>
              <w:t>11月11日7时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1377.270</w:t>
            </w:r>
          </w:p>
        </w:tc>
        <w:tc>
          <w:tcPr>
            <w:vAlign w:val="center"/>
          </w:tcPr>
          <w:p>
            <w:r>
              <w:t>11月1日15时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12月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47537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2791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1406.444</w:t>
            </w:r>
          </w:p>
        </w:tc>
        <w:tc>
          <w:tcPr>
            <w:vAlign w:val="center"/>
          </w:tcPr>
          <w:p>
            <w:r>
              <w:t>12月23日7时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79.765</w:t>
            </w:r>
          </w:p>
        </w:tc>
        <w:tc>
          <w:tcPr>
            <w:vAlign w:val="center"/>
          </w:tcPr>
          <w:p>
            <w:r>
              <w:t>12月6日15时</w:t>
            </w:r>
          </w:p>
        </w:tc>
      </w:tr>
    </w:tbl>
    <w:p>
      <w:pPr>
        <w:jc w:val="center"/>
      </w:pPr>
      <w:bookmarkStart w:id="61" w:name="_GoBack"/>
      <w:r>
        <w:drawing>
          <wp:inline distT="0" distB="0" distL="0" distR="0">
            <wp:extent cx="5667375" cy="2743200"/>
            <wp:effectExtent l="0" t="0" r="1905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39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61"/>
    </w:p>
    <w:p>
      <w:pPr>
        <w:jc w:val="center"/>
      </w:pPr>
      <w:r>
        <w:drawing>
          <wp:inline distT="0" distB="0" distL="0" distR="0">
            <wp:extent cx="5667375" cy="2743200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片 40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/>
    <w:p>
      <w:pPr>
        <w:sectPr>
          <w:headerReference r:id="rId6" w:type="first"/>
          <w:footerReference r:id="rId9" w:type="first"/>
          <w:headerReference r:id="rId4" w:type="default"/>
          <w:footerReference r:id="rId7" w:type="default"/>
          <w:headerReference r:id="rId5" w:type="even"/>
          <w:footerReference r:id="rId8" w:type="even"/>
          <w:pgSz w:w="11906" w:h="16838"/>
          <w:pgMar w:top="1440" w:right="1418" w:bottom="1440" w:left="1418" w:header="851" w:footer="992" w:gutter="0"/>
          <w:pgNumType w:start="1"/>
          <w:cols w:space="425" w:num="1"/>
          <w:docGrid w:type="lines" w:linePitch="312" w:charSpace="0"/>
        </w:sectPr>
      </w:pPr>
    </w:p>
    <w:p>
      <w:pPr>
        <w:pStyle w:val="2"/>
        <w:widowControl w:val="0"/>
        <w:rPr>
          <w:kern w:val="2"/>
          <w:szCs w:val="24"/>
          <w:lang w:val="en-US"/>
        </w:rPr>
      </w:pPr>
      <w:bookmarkStart w:id="60" w:name="_Toc24935"/>
      <w:r>
        <w:rPr>
          <w:kern w:val="2"/>
          <w:szCs w:val="24"/>
          <w:lang w:val="en-US"/>
        </w:rPr>
        <w:t>附录</w:t>
      </w:r>
      <w:bookmarkEnd w:id="60"/>
    </w:p>
    <w:p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工作日/节假日人员逐时在室率(%)</w:t>
      </w:r>
    </w:p>
    <w:p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办公-其它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展览馆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库房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开架书库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报告厅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文印间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档案室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电子信息机房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阅览室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阅览室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>
      <w:pPr>
        <w:widowControl w:val="0"/>
        <w:rPr>
          <w:kern w:val="2"/>
          <w:szCs w:val="24"/>
          <w:lang w:val="en-US"/>
        </w:rPr>
      </w:pPr>
    </w:p>
    <w:p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工作日/节假日照明开关时间表(%)</w:t>
      </w:r>
    </w:p>
    <w:p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办公-其它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展览馆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库房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开架书库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报告厅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文印间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档案室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电子信息机房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阅览室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阅览室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>
      <w:pPr>
        <w:widowControl w:val="0"/>
        <w:rPr>
          <w:kern w:val="2"/>
          <w:szCs w:val="24"/>
          <w:lang w:val="en-US"/>
        </w:rPr>
      </w:pPr>
    </w:p>
    <w:p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工作日/节假日设备逐时使用率(%)</w:t>
      </w:r>
    </w:p>
    <w:p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办公-其它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展览馆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库房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开架书库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报告厅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文印间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档案室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电子信息机房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阅览室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阅览室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>
      <w:pPr>
        <w:widowControl w:val="0"/>
        <w:rPr>
          <w:kern w:val="2"/>
          <w:szCs w:val="24"/>
          <w:lang w:val="en-US"/>
        </w:rPr>
      </w:pPr>
    </w:p>
    <w:p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工作日/节假日空调系统开关时间表</w:t>
      </w:r>
    </w:p>
    <w:p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bookmarkEnd w:id="1"/>
    </w:tbl>
    <w:p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>
      <w:pPr>
        <w:widowControl w:val="0"/>
        <w:rPr>
          <w:kern w:val="2"/>
          <w:szCs w:val="24"/>
          <w:lang w:val="en-US"/>
        </w:rPr>
      </w:pPr>
    </w:p>
    <w:p>
      <w:pPr>
        <w:widowControl w:val="0"/>
        <w:rPr>
          <w:kern w:val="2"/>
          <w:szCs w:val="24"/>
          <w:lang w:val="en-US"/>
        </w:rPr>
      </w:pPr>
    </w:p>
    <w:sectPr>
      <w:headerReference r:id="rId12" w:type="first"/>
      <w:footerReference r:id="rId15" w:type="first"/>
      <w:headerReference r:id="rId10" w:type="default"/>
      <w:footerReference r:id="rId13" w:type="default"/>
      <w:headerReference r:id="rId11" w:type="even"/>
      <w:footerReference r:id="rId14" w:type="even"/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1452306"/>
      <w:docPartObj>
        <w:docPartGallery w:val="autotext"/>
      </w:docPartObj>
    </w:sdtPr>
    <w:sdtContent>
      <w:p>
        <w:pPr>
          <w:pStyle w:val="1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14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1452306"/>
      <w:docPartObj>
        <w:docPartGallery w:val="autotext"/>
      </w:docPartObj>
    </w:sdtPr>
    <w:sdtContent>
      <w:p>
        <w:pPr>
          <w:pStyle w:val="1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14"/>
      <w:jc w:val="cen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全</w:t>
    </w:r>
    <w:r>
      <w:t>年负荷计算书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全</w:t>
    </w:r>
    <w:r>
      <w:t>年负荷计算书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BkMGExNWY0MGI1N2FjYjdiOTRjOWI5OGI4YWZiNTUifQ=="/>
  </w:docVars>
  <w:rsids>
    <w:rsidRoot w:val="70304B5F"/>
    <w:rsid w:val="00014F6D"/>
    <w:rsid w:val="0002338D"/>
    <w:rsid w:val="0002594F"/>
    <w:rsid w:val="00033DE7"/>
    <w:rsid w:val="00057198"/>
    <w:rsid w:val="000574B8"/>
    <w:rsid w:val="0006644D"/>
    <w:rsid w:val="00070074"/>
    <w:rsid w:val="0007082D"/>
    <w:rsid w:val="000843B1"/>
    <w:rsid w:val="0009353E"/>
    <w:rsid w:val="00097E94"/>
    <w:rsid w:val="000A0563"/>
    <w:rsid w:val="000B2B65"/>
    <w:rsid w:val="000C3F45"/>
    <w:rsid w:val="000D1880"/>
    <w:rsid w:val="000D77BD"/>
    <w:rsid w:val="000D79A5"/>
    <w:rsid w:val="000D7D60"/>
    <w:rsid w:val="000E46A7"/>
    <w:rsid w:val="000E5CF8"/>
    <w:rsid w:val="000F0899"/>
    <w:rsid w:val="000F3893"/>
    <w:rsid w:val="000F7EF2"/>
    <w:rsid w:val="0010335A"/>
    <w:rsid w:val="001038E8"/>
    <w:rsid w:val="00130BBA"/>
    <w:rsid w:val="00137789"/>
    <w:rsid w:val="00142097"/>
    <w:rsid w:val="00143F63"/>
    <w:rsid w:val="00145A23"/>
    <w:rsid w:val="00177D57"/>
    <w:rsid w:val="0018345A"/>
    <w:rsid w:val="001869AA"/>
    <w:rsid w:val="001B2A47"/>
    <w:rsid w:val="001B7033"/>
    <w:rsid w:val="001B79BE"/>
    <w:rsid w:val="001C18CB"/>
    <w:rsid w:val="001C5FD8"/>
    <w:rsid w:val="001E2239"/>
    <w:rsid w:val="001E6007"/>
    <w:rsid w:val="001F3852"/>
    <w:rsid w:val="001F676C"/>
    <w:rsid w:val="0020042B"/>
    <w:rsid w:val="00205236"/>
    <w:rsid w:val="00230D2C"/>
    <w:rsid w:val="002555B8"/>
    <w:rsid w:val="00265C87"/>
    <w:rsid w:val="00274C7C"/>
    <w:rsid w:val="00282EC0"/>
    <w:rsid w:val="002A6009"/>
    <w:rsid w:val="002B7246"/>
    <w:rsid w:val="002C32CA"/>
    <w:rsid w:val="002D0AE2"/>
    <w:rsid w:val="002E0C36"/>
    <w:rsid w:val="002E4AD4"/>
    <w:rsid w:val="003121F7"/>
    <w:rsid w:val="0031404D"/>
    <w:rsid w:val="00330E96"/>
    <w:rsid w:val="00333A2B"/>
    <w:rsid w:val="0034676D"/>
    <w:rsid w:val="003545EA"/>
    <w:rsid w:val="003754E7"/>
    <w:rsid w:val="0037562F"/>
    <w:rsid w:val="003812FE"/>
    <w:rsid w:val="003A3E6E"/>
    <w:rsid w:val="003B01F4"/>
    <w:rsid w:val="003B69A6"/>
    <w:rsid w:val="003F7978"/>
    <w:rsid w:val="00404F3F"/>
    <w:rsid w:val="00406495"/>
    <w:rsid w:val="00413E13"/>
    <w:rsid w:val="004208E6"/>
    <w:rsid w:val="00421DAB"/>
    <w:rsid w:val="004315D7"/>
    <w:rsid w:val="00432A98"/>
    <w:rsid w:val="004602B5"/>
    <w:rsid w:val="00467891"/>
    <w:rsid w:val="00467D84"/>
    <w:rsid w:val="00472D27"/>
    <w:rsid w:val="00481665"/>
    <w:rsid w:val="00482223"/>
    <w:rsid w:val="00494C3A"/>
    <w:rsid w:val="004A5939"/>
    <w:rsid w:val="004D1E25"/>
    <w:rsid w:val="004D230F"/>
    <w:rsid w:val="004D2CA0"/>
    <w:rsid w:val="004D449D"/>
    <w:rsid w:val="004F1990"/>
    <w:rsid w:val="004F64E0"/>
    <w:rsid w:val="00506EA6"/>
    <w:rsid w:val="005215FB"/>
    <w:rsid w:val="00526030"/>
    <w:rsid w:val="00543EE3"/>
    <w:rsid w:val="00552D02"/>
    <w:rsid w:val="00553773"/>
    <w:rsid w:val="00556F85"/>
    <w:rsid w:val="005612C7"/>
    <w:rsid w:val="005726CB"/>
    <w:rsid w:val="0057270A"/>
    <w:rsid w:val="00573DF2"/>
    <w:rsid w:val="005807AB"/>
    <w:rsid w:val="005923AE"/>
    <w:rsid w:val="005A520A"/>
    <w:rsid w:val="005B3DB3"/>
    <w:rsid w:val="005C1189"/>
    <w:rsid w:val="005E352E"/>
    <w:rsid w:val="005E36B7"/>
    <w:rsid w:val="005F0615"/>
    <w:rsid w:val="00600DA6"/>
    <w:rsid w:val="006030F6"/>
    <w:rsid w:val="006104C9"/>
    <w:rsid w:val="00615FD8"/>
    <w:rsid w:val="00637258"/>
    <w:rsid w:val="00640E36"/>
    <w:rsid w:val="00647E12"/>
    <w:rsid w:val="00656297"/>
    <w:rsid w:val="00681FD9"/>
    <w:rsid w:val="00685ADE"/>
    <w:rsid w:val="00693D83"/>
    <w:rsid w:val="006A1805"/>
    <w:rsid w:val="006A7563"/>
    <w:rsid w:val="006B709E"/>
    <w:rsid w:val="006D560B"/>
    <w:rsid w:val="006F0362"/>
    <w:rsid w:val="006F0A9E"/>
    <w:rsid w:val="006F579F"/>
    <w:rsid w:val="007047DF"/>
    <w:rsid w:val="00723619"/>
    <w:rsid w:val="00726DF7"/>
    <w:rsid w:val="00734B1A"/>
    <w:rsid w:val="0075027A"/>
    <w:rsid w:val="007557BF"/>
    <w:rsid w:val="00762369"/>
    <w:rsid w:val="00773762"/>
    <w:rsid w:val="00790573"/>
    <w:rsid w:val="00793E64"/>
    <w:rsid w:val="007A0DA2"/>
    <w:rsid w:val="007A48B3"/>
    <w:rsid w:val="007B1F46"/>
    <w:rsid w:val="007B3DC4"/>
    <w:rsid w:val="007B5870"/>
    <w:rsid w:val="007B5DEE"/>
    <w:rsid w:val="007B79CB"/>
    <w:rsid w:val="007D685F"/>
    <w:rsid w:val="0081130C"/>
    <w:rsid w:val="00822BCC"/>
    <w:rsid w:val="00831D82"/>
    <w:rsid w:val="0083594E"/>
    <w:rsid w:val="00840019"/>
    <w:rsid w:val="0085046D"/>
    <w:rsid w:val="008566C1"/>
    <w:rsid w:val="00860D36"/>
    <w:rsid w:val="00893E84"/>
    <w:rsid w:val="00895464"/>
    <w:rsid w:val="008A1EF9"/>
    <w:rsid w:val="008A5B87"/>
    <w:rsid w:val="008B05BB"/>
    <w:rsid w:val="008B4594"/>
    <w:rsid w:val="008C0095"/>
    <w:rsid w:val="008C28CF"/>
    <w:rsid w:val="008D04AA"/>
    <w:rsid w:val="008F6F74"/>
    <w:rsid w:val="009000FA"/>
    <w:rsid w:val="00901166"/>
    <w:rsid w:val="00913DDC"/>
    <w:rsid w:val="0091731C"/>
    <w:rsid w:val="00917D8E"/>
    <w:rsid w:val="009303EE"/>
    <w:rsid w:val="00931AEE"/>
    <w:rsid w:val="0094328E"/>
    <w:rsid w:val="00986005"/>
    <w:rsid w:val="009B6EEC"/>
    <w:rsid w:val="009C2673"/>
    <w:rsid w:val="009C2713"/>
    <w:rsid w:val="009C4D39"/>
    <w:rsid w:val="009E0A1E"/>
    <w:rsid w:val="00A102D6"/>
    <w:rsid w:val="00A104C6"/>
    <w:rsid w:val="00A26740"/>
    <w:rsid w:val="00A27490"/>
    <w:rsid w:val="00A31918"/>
    <w:rsid w:val="00A7048B"/>
    <w:rsid w:val="00A71379"/>
    <w:rsid w:val="00A8222B"/>
    <w:rsid w:val="00A84650"/>
    <w:rsid w:val="00A94B0E"/>
    <w:rsid w:val="00AA60D8"/>
    <w:rsid w:val="00AB5CF2"/>
    <w:rsid w:val="00AC2573"/>
    <w:rsid w:val="00AC5061"/>
    <w:rsid w:val="00AC563B"/>
    <w:rsid w:val="00AD1E4E"/>
    <w:rsid w:val="00AD47A0"/>
    <w:rsid w:val="00AE7036"/>
    <w:rsid w:val="00AF4ECE"/>
    <w:rsid w:val="00B06731"/>
    <w:rsid w:val="00B15588"/>
    <w:rsid w:val="00B15948"/>
    <w:rsid w:val="00B32158"/>
    <w:rsid w:val="00B51927"/>
    <w:rsid w:val="00B55B22"/>
    <w:rsid w:val="00B6334F"/>
    <w:rsid w:val="00B636DC"/>
    <w:rsid w:val="00B6755F"/>
    <w:rsid w:val="00B8010B"/>
    <w:rsid w:val="00B813D0"/>
    <w:rsid w:val="00B9306A"/>
    <w:rsid w:val="00BA3E72"/>
    <w:rsid w:val="00BA589F"/>
    <w:rsid w:val="00BB041D"/>
    <w:rsid w:val="00BB15B5"/>
    <w:rsid w:val="00BB189B"/>
    <w:rsid w:val="00BC2B16"/>
    <w:rsid w:val="00BC33AE"/>
    <w:rsid w:val="00C03B4D"/>
    <w:rsid w:val="00C17AFD"/>
    <w:rsid w:val="00C248FA"/>
    <w:rsid w:val="00C55236"/>
    <w:rsid w:val="00C576C1"/>
    <w:rsid w:val="00C63237"/>
    <w:rsid w:val="00C76264"/>
    <w:rsid w:val="00C97E25"/>
    <w:rsid w:val="00CA3083"/>
    <w:rsid w:val="00CA6DD4"/>
    <w:rsid w:val="00CD7550"/>
    <w:rsid w:val="00CE56E7"/>
    <w:rsid w:val="00CE69C3"/>
    <w:rsid w:val="00CF3664"/>
    <w:rsid w:val="00D40158"/>
    <w:rsid w:val="00D41F86"/>
    <w:rsid w:val="00D44A8E"/>
    <w:rsid w:val="00D457C9"/>
    <w:rsid w:val="00D55625"/>
    <w:rsid w:val="00D62A9A"/>
    <w:rsid w:val="00D7335B"/>
    <w:rsid w:val="00D843F3"/>
    <w:rsid w:val="00D93668"/>
    <w:rsid w:val="00DA63A8"/>
    <w:rsid w:val="00DC73AD"/>
    <w:rsid w:val="00DC756A"/>
    <w:rsid w:val="00DD1B15"/>
    <w:rsid w:val="00DD4B55"/>
    <w:rsid w:val="00DD70A8"/>
    <w:rsid w:val="00DE1E0A"/>
    <w:rsid w:val="00DE75D3"/>
    <w:rsid w:val="00DF1E04"/>
    <w:rsid w:val="00E30F2C"/>
    <w:rsid w:val="00E33D8C"/>
    <w:rsid w:val="00E374AF"/>
    <w:rsid w:val="00E547DE"/>
    <w:rsid w:val="00E56ABA"/>
    <w:rsid w:val="00E60D50"/>
    <w:rsid w:val="00E65DD3"/>
    <w:rsid w:val="00E750BA"/>
    <w:rsid w:val="00E81ACD"/>
    <w:rsid w:val="00E84A3E"/>
    <w:rsid w:val="00E917BD"/>
    <w:rsid w:val="00E971FA"/>
    <w:rsid w:val="00EA4BCE"/>
    <w:rsid w:val="00EA4C5E"/>
    <w:rsid w:val="00EC503E"/>
    <w:rsid w:val="00EC521D"/>
    <w:rsid w:val="00ED740A"/>
    <w:rsid w:val="00EE44F0"/>
    <w:rsid w:val="00EE6C6C"/>
    <w:rsid w:val="00EE7F24"/>
    <w:rsid w:val="00EF1EC2"/>
    <w:rsid w:val="00F17274"/>
    <w:rsid w:val="00F25477"/>
    <w:rsid w:val="00F27D1E"/>
    <w:rsid w:val="00F4369B"/>
    <w:rsid w:val="00F462CC"/>
    <w:rsid w:val="00F552D2"/>
    <w:rsid w:val="00F6198E"/>
    <w:rsid w:val="00F83AFC"/>
    <w:rsid w:val="00F87096"/>
    <w:rsid w:val="00F90B7E"/>
    <w:rsid w:val="00F96C71"/>
    <w:rsid w:val="00FB028F"/>
    <w:rsid w:val="00FB3DE9"/>
    <w:rsid w:val="00FB76EE"/>
    <w:rsid w:val="00FC2568"/>
    <w:rsid w:val="00FD0BF6"/>
    <w:rsid w:val="00FE3473"/>
    <w:rsid w:val="00FE6537"/>
    <w:rsid w:val="00FF0ADE"/>
    <w:rsid w:val="33EB71E5"/>
    <w:rsid w:val="6ED4152F"/>
    <w:rsid w:val="7030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name="toc 1"/>
    <w:lsdException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2"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4"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semiHidden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Hyperlink"/>
    <w:uiPriority w:val="0"/>
    <w:rPr>
      <w:color w:val="0000FF"/>
      <w:u w:val="single"/>
    </w:rPr>
  </w:style>
  <w:style w:type="character" w:customStyle="1" w:styleId="22">
    <w:name w:val="标题 1 字符"/>
    <w:link w:val="2"/>
    <w:uiPriority w:val="0"/>
    <w:rPr>
      <w:b/>
      <w:bCs/>
      <w:kern w:val="32"/>
      <w:sz w:val="28"/>
      <w:szCs w:val="28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页脚 字符"/>
    <w:basedOn w:val="20"/>
    <w:link w:val="14"/>
    <w:qFormat/>
    <w:uiPriority w:val="99"/>
    <w:rPr>
      <w:sz w:val="21"/>
      <w:szCs w:val="18"/>
      <w:lang w:val="en-GB"/>
    </w:rPr>
  </w:style>
  <w:style w:type="table" w:customStyle="1" w:styleId="25">
    <w:name w:val="网格型1"/>
    <w:basedOn w:val="18"/>
    <w:qFormat/>
    <w:uiPriority w:val="39"/>
    <w:rPr>
      <w:rFonts w:ascii="等线" w:hAnsi="等线" w:eastAsia="等线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4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8" Type="http://schemas.openxmlformats.org/officeDocument/2006/relationships/fontTable" Target="fontTable.xml"/><Relationship Id="rId27" Type="http://schemas.openxmlformats.org/officeDocument/2006/relationships/numbering" Target="numbering.xml"/><Relationship Id="rId26" Type="http://schemas.openxmlformats.org/officeDocument/2006/relationships/customXml" Target="../customXml/item1.xml"/><Relationship Id="rId25" Type="http://schemas.openxmlformats.org/officeDocument/2006/relationships/image" Target="media/image10.png"/><Relationship Id="rId24" Type="http://schemas.openxmlformats.org/officeDocument/2006/relationships/image" Target="media/image9.png"/><Relationship Id="rId23" Type="http://schemas.openxmlformats.org/officeDocument/2006/relationships/image" Target="media/image8.png"/><Relationship Id="rId22" Type="http://schemas.openxmlformats.org/officeDocument/2006/relationships/image" Target="media/image7.png"/><Relationship Id="rId21" Type="http://schemas.openxmlformats.org/officeDocument/2006/relationships/image" Target="media/image6.png"/><Relationship Id="rId20" Type="http://schemas.openxmlformats.org/officeDocument/2006/relationships/image" Target="media/image5.png"/><Relationship Id="rId2" Type="http://schemas.openxmlformats.org/officeDocument/2006/relationships/settings" Target="settings.xml"/><Relationship Id="rId19" Type="http://schemas.openxmlformats.org/officeDocument/2006/relationships/image" Target="media/image4.png"/><Relationship Id="rId18" Type="http://schemas.openxmlformats.org/officeDocument/2006/relationships/image" Target="media/image3.png"/><Relationship Id="rId17" Type="http://schemas.openxmlformats.org/officeDocument/2006/relationships/image" Target="media/image2.bmp"/><Relationship Id="rId16" Type="http://schemas.openxmlformats.org/officeDocument/2006/relationships/theme" Target="theme/theme1.xml"/><Relationship Id="rId15" Type="http://schemas.openxmlformats.org/officeDocument/2006/relationships/footer" Target="footer6.xml"/><Relationship Id="rId14" Type="http://schemas.openxmlformats.org/officeDocument/2006/relationships/footer" Target="footer5.xml"/><Relationship Id="rId13" Type="http://schemas.openxmlformats.org/officeDocument/2006/relationships/footer" Target="footer4.xml"/><Relationship Id="rId12" Type="http://schemas.openxmlformats.org/officeDocument/2006/relationships/header" Target="header7.xml"/><Relationship Id="rId11" Type="http://schemas.openxmlformats.org/officeDocument/2006/relationships/header" Target="header6.xml"/><Relationship Id="rId10" Type="http://schemas.openxmlformats.org/officeDocument/2006/relationships/header" Target="header5.xml"/><Relationship Id="rId1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35885;&#35799;&#26611;\AppData\Local\Temp\tmp2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tmp2.dotx</Template>
  <Pages>17</Pages>
  <Words>7272</Words>
  <Characters>11933</Characters>
  <Lines>11</Lines>
  <Paragraphs>3</Paragraphs>
  <TotalTime>7</TotalTime>
  <ScaleCrop>false</ScaleCrop>
  <LinksUpToDate>false</LinksUpToDate>
  <CharactersWithSpaces>11981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2025-12-25T09:30:00Z</dcterms:created>
  <dc:creator>T。</dc:creator>
  <cp:lastModifiedBy>T。</cp:lastModifiedBy>
  <dcterms:modified xsi:type="dcterms:W3CDTF">2026-01-04T03:11:29Z</dcterms:modified>
  <dc:title>全年负荷计算书</dc:title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  <property fmtid="{D5CDD505-2E9C-101B-9397-08002B2CF9AE}" pid="3" name="ICV">
    <vt:lpwstr>6A958B0DEF364D6A89D6CFD6B8579DD2_12</vt:lpwstr>
  </property>
</Properties>
</file>