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66D3">
      <w:pPr>
        <w:rPr>
          <w:rFonts w:hint="eastAsia"/>
        </w:rPr>
      </w:pPr>
      <w:r>
        <w:rPr>
          <w:rFonts w:hint="eastAsia"/>
        </w:rPr>
        <w:t># 乌兰哈达火山脚下充电站外窗可开启面积比例计算书</w:t>
      </w:r>
    </w:p>
    <w:p w14:paraId="0DC32658">
      <w:pPr>
        <w:rPr>
          <w:rFonts w:hint="eastAsia"/>
        </w:rPr>
      </w:pPr>
    </w:p>
    <w:p w14:paraId="63E6999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B1D12D9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A02338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B0D0B3E">
      <w:pPr>
        <w:rPr>
          <w:rFonts w:hint="eastAsia"/>
        </w:rPr>
      </w:pPr>
    </w:p>
    <w:p w14:paraId="7C3350A7">
      <w:pPr>
        <w:rPr>
          <w:rFonts w:hint="eastAsia"/>
        </w:rPr>
      </w:pPr>
      <w:r>
        <w:rPr>
          <w:rFonts w:hint="eastAsia"/>
        </w:rPr>
        <w:t>---</w:t>
      </w:r>
    </w:p>
    <w:p w14:paraId="033334AA">
      <w:pPr>
        <w:rPr>
          <w:rFonts w:hint="eastAsia"/>
        </w:rPr>
      </w:pPr>
    </w:p>
    <w:p w14:paraId="748ACBBE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2E3D9373">
      <w:pPr>
        <w:rPr>
          <w:rFonts w:hint="eastAsia"/>
        </w:rPr>
      </w:pPr>
    </w:p>
    <w:p w14:paraId="468A7E1B">
      <w:pPr>
        <w:rPr>
          <w:rFonts w:hint="eastAsia"/>
        </w:rPr>
      </w:pPr>
      <w:r>
        <w:rPr>
          <w:rFonts w:hint="eastAsia"/>
        </w:rPr>
        <w:t>### 1.1 计算目的</w:t>
      </w:r>
    </w:p>
    <w:p w14:paraId="6420BC25">
      <w:pPr>
        <w:rPr>
          <w:rFonts w:hint="eastAsia"/>
        </w:rPr>
      </w:pPr>
    </w:p>
    <w:p w14:paraId="12931CF8">
      <w:pPr>
        <w:rPr>
          <w:rFonts w:hint="eastAsia"/>
        </w:rPr>
      </w:pPr>
      <w:r>
        <w:rPr>
          <w:rFonts w:hint="eastAsia"/>
        </w:rPr>
        <w:t>评估外窗可开启面积比例，验证自然通风效果。</w:t>
      </w:r>
    </w:p>
    <w:p w14:paraId="287B49AE">
      <w:pPr>
        <w:rPr>
          <w:rFonts w:hint="eastAsia"/>
        </w:rPr>
      </w:pPr>
    </w:p>
    <w:p w14:paraId="5C5B0E2E">
      <w:pPr>
        <w:rPr>
          <w:rFonts w:hint="eastAsia"/>
        </w:rPr>
      </w:pPr>
      <w:r>
        <w:rPr>
          <w:rFonts w:hint="eastAsia"/>
        </w:rPr>
        <w:t>### 1.2 计算依据</w:t>
      </w:r>
    </w:p>
    <w:p w14:paraId="50DA6A6B">
      <w:pPr>
        <w:rPr>
          <w:rFonts w:hint="eastAsia"/>
        </w:rPr>
      </w:pPr>
    </w:p>
    <w:p w14:paraId="51D86B2C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3DFE8166">
      <w:pPr>
        <w:rPr>
          <w:rFonts w:hint="eastAsia"/>
        </w:rPr>
      </w:pPr>
      <w:r>
        <w:rPr>
          <w:rFonts w:hint="eastAsia"/>
        </w:rPr>
        <w:t>|----------|----------|</w:t>
      </w:r>
    </w:p>
    <w:p w14:paraId="0EC080F6">
      <w:pPr>
        <w:rPr>
          <w:rFonts w:hint="eastAsia"/>
        </w:rPr>
      </w:pPr>
      <w:r>
        <w:rPr>
          <w:rFonts w:hint="eastAsia"/>
        </w:rPr>
        <w:t>| GB 50352-2019 | 民用建筑设计统一标准 |</w:t>
      </w:r>
    </w:p>
    <w:p w14:paraId="13488A0C">
      <w:pPr>
        <w:rPr>
          <w:rFonts w:hint="eastAsia"/>
        </w:rPr>
      </w:pPr>
      <w:r>
        <w:rPr>
          <w:rFonts w:hint="eastAsia"/>
        </w:rPr>
        <w:t>| GB 50736-2012 | 民用建筑供暖通风与空气调节设计规范 |</w:t>
      </w:r>
    </w:p>
    <w:p w14:paraId="452FB6B3">
      <w:pPr>
        <w:rPr>
          <w:rFonts w:hint="eastAsia"/>
        </w:rPr>
      </w:pPr>
    </w:p>
    <w:p w14:paraId="7FFA54DC">
      <w:pPr>
        <w:rPr>
          <w:rFonts w:hint="eastAsia"/>
        </w:rPr>
      </w:pPr>
      <w:r>
        <w:rPr>
          <w:rFonts w:hint="eastAsia"/>
        </w:rPr>
        <w:t>### 1.3 计算范围</w:t>
      </w:r>
    </w:p>
    <w:p w14:paraId="4A9C06E3">
      <w:pPr>
        <w:rPr>
          <w:rFonts w:hint="eastAsia"/>
        </w:rPr>
      </w:pPr>
    </w:p>
    <w:p w14:paraId="1BB28A00">
      <w:pPr>
        <w:rPr>
          <w:rFonts w:hint="eastAsia"/>
        </w:rPr>
      </w:pPr>
      <w:r>
        <w:rPr>
          <w:rFonts w:hint="eastAsia"/>
        </w:rPr>
        <w:t>| 房间 | 面积(㎡) | 外窗类型 | 开启方式 |</w:t>
      </w:r>
    </w:p>
    <w:p w14:paraId="6F3686BE">
      <w:pPr>
        <w:rPr>
          <w:rFonts w:hint="eastAsia"/>
        </w:rPr>
      </w:pPr>
      <w:r>
        <w:rPr>
          <w:rFonts w:hint="eastAsia"/>
        </w:rPr>
        <w:t>|------|----------|----------|----------|</w:t>
      </w:r>
    </w:p>
    <w:p w14:paraId="166C1D91">
      <w:pPr>
        <w:rPr>
          <w:rFonts w:hint="eastAsia"/>
        </w:rPr>
      </w:pPr>
      <w:r>
        <w:rPr>
          <w:rFonts w:hint="eastAsia"/>
        </w:rPr>
        <w:t>| 休息区 | 220 | 断桥铝窗 | 内平开 |</w:t>
      </w:r>
    </w:p>
    <w:p w14:paraId="4FEF8201">
      <w:pPr>
        <w:rPr>
          <w:rFonts w:hint="eastAsia"/>
        </w:rPr>
      </w:pPr>
      <w:r>
        <w:rPr>
          <w:rFonts w:hint="eastAsia"/>
        </w:rPr>
        <w:t>| 办公区 | 120 | 断桥铝窗 | 内平开 |</w:t>
      </w:r>
    </w:p>
    <w:p w14:paraId="6D5BB561">
      <w:pPr>
        <w:rPr>
          <w:rFonts w:hint="eastAsia"/>
        </w:rPr>
      </w:pPr>
      <w:r>
        <w:rPr>
          <w:rFonts w:hint="eastAsia"/>
        </w:rPr>
        <w:t>| 展览区 | 185 | 断桥铝窗 | 内平开 |</w:t>
      </w:r>
    </w:p>
    <w:p w14:paraId="631775DF">
      <w:pPr>
        <w:rPr>
          <w:rFonts w:hint="eastAsia"/>
        </w:rPr>
      </w:pPr>
      <w:r>
        <w:rPr>
          <w:rFonts w:hint="eastAsia"/>
        </w:rPr>
        <w:t>| 服务区 | 65 | 断桥铝窗 | 内平开 |</w:t>
      </w:r>
    </w:p>
    <w:p w14:paraId="11B856E6">
      <w:pPr>
        <w:rPr>
          <w:rFonts w:hint="eastAsia"/>
        </w:rPr>
      </w:pPr>
    </w:p>
    <w:p w14:paraId="519D9849">
      <w:pPr>
        <w:rPr>
          <w:rFonts w:hint="eastAsia"/>
        </w:rPr>
      </w:pPr>
      <w:r>
        <w:rPr>
          <w:rFonts w:hint="eastAsia"/>
        </w:rPr>
        <w:t>---</w:t>
      </w:r>
    </w:p>
    <w:p w14:paraId="7C215641">
      <w:pPr>
        <w:rPr>
          <w:rFonts w:hint="eastAsia"/>
        </w:rPr>
      </w:pPr>
    </w:p>
    <w:p w14:paraId="1E3D2B45">
      <w:pPr>
        <w:rPr>
          <w:rFonts w:hint="eastAsia"/>
        </w:rPr>
      </w:pPr>
      <w:r>
        <w:rPr>
          <w:rFonts w:hint="eastAsia"/>
        </w:rPr>
        <w:t>## 第二章 计算参数</w:t>
      </w:r>
    </w:p>
    <w:p w14:paraId="7698B6D6">
      <w:pPr>
        <w:rPr>
          <w:rFonts w:hint="eastAsia"/>
        </w:rPr>
      </w:pPr>
    </w:p>
    <w:p w14:paraId="27B109DF">
      <w:pPr>
        <w:rPr>
          <w:rFonts w:hint="eastAsia"/>
        </w:rPr>
      </w:pPr>
      <w:r>
        <w:rPr>
          <w:rFonts w:hint="eastAsia"/>
        </w:rPr>
        <w:t>### 2.1 外窗配置</w:t>
      </w:r>
    </w:p>
    <w:p w14:paraId="5A012C97">
      <w:pPr>
        <w:rPr>
          <w:rFonts w:hint="eastAsia"/>
        </w:rPr>
      </w:pPr>
    </w:p>
    <w:p w14:paraId="033AC968">
      <w:pPr>
        <w:rPr>
          <w:rFonts w:hint="eastAsia"/>
        </w:rPr>
      </w:pPr>
      <w:r>
        <w:rPr>
          <w:rFonts w:hint="eastAsia"/>
        </w:rPr>
        <w:t>| 房间 | 窗洞尺寸(m) | 数量 | 单窗面积(㎡) | 总窗面积(㎡) | 开启扇尺寸(m) | 单扇开启面积(㎡) | 开启扇数量 |</w:t>
      </w:r>
    </w:p>
    <w:p w14:paraId="3B2F1A6B">
      <w:pPr>
        <w:rPr>
          <w:rFonts w:hint="eastAsia"/>
        </w:rPr>
      </w:pPr>
      <w:r>
        <w:rPr>
          <w:rFonts w:hint="eastAsia"/>
        </w:rPr>
        <w:t>|------|-------------|------|--------------|--------------|---------------|-----------------|------------|</w:t>
      </w:r>
    </w:p>
    <w:p w14:paraId="5CF01F7F">
      <w:pPr>
        <w:rPr>
          <w:rFonts w:hint="eastAsia"/>
        </w:rPr>
      </w:pPr>
      <w:r>
        <w:rPr>
          <w:rFonts w:hint="eastAsia"/>
        </w:rPr>
        <w:t>| 休息区 | 1.5×2.1 | 8 | 3.15 | 25.2 | 0.6×1.2 | 0.72 | 16 |</w:t>
      </w:r>
    </w:p>
    <w:p w14:paraId="186DC357">
      <w:pPr>
        <w:rPr>
          <w:rFonts w:hint="eastAsia"/>
        </w:rPr>
      </w:pPr>
      <w:r>
        <w:rPr>
          <w:rFonts w:hint="eastAsia"/>
        </w:rPr>
        <w:t>| 办公区 | 1.5×2.1 | 4 | 3.15 | 12.6 | 0.6×1.2 | 0.72 | 8 |</w:t>
      </w:r>
    </w:p>
    <w:p w14:paraId="0E018AFD">
      <w:pPr>
        <w:rPr>
          <w:rFonts w:hint="eastAsia"/>
        </w:rPr>
      </w:pPr>
      <w:r>
        <w:rPr>
          <w:rFonts w:hint="eastAsia"/>
        </w:rPr>
        <w:t>| 展览区 | 1.5×2.1 | 6 | 3.15 | 18.9 | 0.6×1.2 | 0.72 | 12 |</w:t>
      </w:r>
    </w:p>
    <w:p w14:paraId="58969575">
      <w:pPr>
        <w:rPr>
          <w:rFonts w:hint="eastAsia"/>
        </w:rPr>
      </w:pPr>
      <w:r>
        <w:rPr>
          <w:rFonts w:hint="eastAsia"/>
        </w:rPr>
        <w:t>| 服务区 | 1.2×1.5 | 2 | 1.80 | 3.6 | 0.6×1.2 | 0.72 | 2 |</w:t>
      </w:r>
    </w:p>
    <w:p w14:paraId="4B1BF30C">
      <w:pPr>
        <w:rPr>
          <w:rFonts w:hint="eastAsia"/>
        </w:rPr>
      </w:pPr>
    </w:p>
    <w:p w14:paraId="5C740166">
      <w:pPr>
        <w:rPr>
          <w:rFonts w:hint="eastAsia"/>
        </w:rPr>
      </w:pPr>
      <w:r>
        <w:rPr>
          <w:rFonts w:hint="eastAsia"/>
        </w:rPr>
        <w:t>---</w:t>
      </w:r>
    </w:p>
    <w:p w14:paraId="4935FD58">
      <w:pPr>
        <w:rPr>
          <w:rFonts w:hint="eastAsia"/>
        </w:rPr>
      </w:pPr>
    </w:p>
    <w:p w14:paraId="059BA37A">
      <w:pPr>
        <w:rPr>
          <w:rFonts w:hint="eastAsia"/>
        </w:rPr>
      </w:pPr>
      <w:r>
        <w:rPr>
          <w:rFonts w:hint="eastAsia"/>
        </w:rPr>
        <w:t>## 第三章 可开启面积计算</w:t>
      </w:r>
    </w:p>
    <w:p w14:paraId="1A649D4E">
      <w:pPr>
        <w:rPr>
          <w:rFonts w:hint="eastAsia"/>
        </w:rPr>
      </w:pPr>
    </w:p>
    <w:p w14:paraId="1F4C90E8">
      <w:pPr>
        <w:rPr>
          <w:rFonts w:hint="eastAsia"/>
        </w:rPr>
      </w:pPr>
      <w:r>
        <w:rPr>
          <w:rFonts w:hint="eastAsia"/>
        </w:rPr>
        <w:t>### 3.1 计算公式</w:t>
      </w:r>
    </w:p>
    <w:p w14:paraId="5B6DC0EE">
      <w:pPr>
        <w:rPr>
          <w:rFonts w:hint="eastAsia"/>
        </w:rPr>
      </w:pPr>
    </w:p>
    <w:p w14:paraId="72C5F634">
      <w:pPr>
        <w:rPr>
          <w:rFonts w:hint="eastAsia"/>
        </w:rPr>
      </w:pPr>
      <w:r>
        <w:rPr>
          <w:rFonts w:hint="eastAsia"/>
        </w:rPr>
        <w:t>**可开启面积比例 = (可开启面积总和 / 房间地面面积) × 100%**</w:t>
      </w:r>
    </w:p>
    <w:p w14:paraId="0954CC7C">
      <w:pPr>
        <w:rPr>
          <w:rFonts w:hint="eastAsia"/>
        </w:rPr>
      </w:pPr>
    </w:p>
    <w:p w14:paraId="78A23D5D">
      <w:pPr>
        <w:rPr>
          <w:rFonts w:hint="eastAsia"/>
        </w:rPr>
      </w:pPr>
      <w:r>
        <w:rPr>
          <w:rFonts w:hint="eastAsia"/>
        </w:rPr>
        <w:t>### 3.2 各房间计算</w:t>
      </w:r>
    </w:p>
    <w:p w14:paraId="1C1400C4">
      <w:pPr>
        <w:rPr>
          <w:rFonts w:hint="eastAsia"/>
        </w:rPr>
      </w:pPr>
    </w:p>
    <w:p w14:paraId="2E959186">
      <w:pPr>
        <w:rPr>
          <w:rFonts w:hint="eastAsia"/>
        </w:rPr>
      </w:pPr>
      <w:r>
        <w:rPr>
          <w:rFonts w:hint="eastAsia"/>
        </w:rPr>
        <w:t>**休息区：**</w:t>
      </w:r>
    </w:p>
    <w:p w14:paraId="185C6D17">
      <w:pPr>
        <w:rPr>
          <w:rFonts w:hint="eastAsia"/>
        </w:rPr>
      </w:pPr>
      <w:r>
        <w:rPr>
          <w:rFonts w:hint="eastAsia"/>
        </w:rPr>
        <w:t>```</w:t>
      </w:r>
    </w:p>
    <w:p w14:paraId="4B87C88A">
      <w:pPr>
        <w:rPr>
          <w:rFonts w:hint="eastAsia"/>
        </w:rPr>
      </w:pPr>
      <w:r>
        <w:rPr>
          <w:rFonts w:hint="eastAsia"/>
        </w:rPr>
        <w:t>可开启面积 = 0.72 × 16 = 11.52㎡</w:t>
      </w:r>
    </w:p>
    <w:p w14:paraId="36F29746">
      <w:pPr>
        <w:rPr>
          <w:rFonts w:hint="eastAsia"/>
        </w:rPr>
      </w:pPr>
      <w:r>
        <w:rPr>
          <w:rFonts w:hint="eastAsia"/>
        </w:rPr>
        <w:t>可开启面积比例 = 11.52 / 220 × 100% = 5.24%</w:t>
      </w:r>
    </w:p>
    <w:p w14:paraId="65CEB307">
      <w:pPr>
        <w:rPr>
          <w:rFonts w:hint="eastAsia"/>
        </w:rPr>
      </w:pPr>
      <w:r>
        <w:rPr>
          <w:rFonts w:hint="eastAsia"/>
        </w:rPr>
        <w:t>```</w:t>
      </w:r>
    </w:p>
    <w:p w14:paraId="7E0FF316">
      <w:pPr>
        <w:rPr>
          <w:rFonts w:hint="eastAsia"/>
        </w:rPr>
      </w:pPr>
    </w:p>
    <w:p w14:paraId="0484648B">
      <w:pPr>
        <w:rPr>
          <w:rFonts w:hint="eastAsia"/>
        </w:rPr>
      </w:pPr>
      <w:r>
        <w:rPr>
          <w:rFonts w:hint="eastAsia"/>
        </w:rPr>
        <w:t>**办公区：**</w:t>
      </w:r>
    </w:p>
    <w:p w14:paraId="2141FC8A">
      <w:pPr>
        <w:rPr>
          <w:rFonts w:hint="eastAsia"/>
        </w:rPr>
      </w:pPr>
      <w:r>
        <w:rPr>
          <w:rFonts w:hint="eastAsia"/>
        </w:rPr>
        <w:t>```</w:t>
      </w:r>
    </w:p>
    <w:p w14:paraId="61BBCEE7">
      <w:pPr>
        <w:rPr>
          <w:rFonts w:hint="eastAsia"/>
        </w:rPr>
      </w:pPr>
      <w:r>
        <w:rPr>
          <w:rFonts w:hint="eastAsia"/>
        </w:rPr>
        <w:t>可开启面积 = 0.72 × 8 = 5.76㎡</w:t>
      </w:r>
    </w:p>
    <w:p w14:paraId="2BD8CF51">
      <w:pPr>
        <w:rPr>
          <w:rFonts w:hint="eastAsia"/>
        </w:rPr>
      </w:pPr>
      <w:r>
        <w:rPr>
          <w:rFonts w:hint="eastAsia"/>
        </w:rPr>
        <w:t>可开启面积比例 = 5.76 / 120 × 100% = 4.80%</w:t>
      </w:r>
    </w:p>
    <w:p w14:paraId="0C35ADBC">
      <w:pPr>
        <w:rPr>
          <w:rFonts w:hint="eastAsia"/>
        </w:rPr>
      </w:pPr>
      <w:r>
        <w:rPr>
          <w:rFonts w:hint="eastAsia"/>
        </w:rPr>
        <w:t>```</w:t>
      </w:r>
    </w:p>
    <w:p w14:paraId="338DB4D1">
      <w:pPr>
        <w:rPr>
          <w:rFonts w:hint="eastAsia"/>
        </w:rPr>
      </w:pPr>
    </w:p>
    <w:p w14:paraId="296FC1DF">
      <w:pPr>
        <w:rPr>
          <w:rFonts w:hint="eastAsia"/>
        </w:rPr>
      </w:pPr>
      <w:r>
        <w:rPr>
          <w:rFonts w:hint="eastAsia"/>
        </w:rPr>
        <w:t>**展览区：**</w:t>
      </w:r>
    </w:p>
    <w:p w14:paraId="43B668D2">
      <w:pPr>
        <w:rPr>
          <w:rFonts w:hint="eastAsia"/>
        </w:rPr>
      </w:pPr>
      <w:r>
        <w:rPr>
          <w:rFonts w:hint="eastAsia"/>
        </w:rPr>
        <w:t>```</w:t>
      </w:r>
    </w:p>
    <w:p w14:paraId="1C168023">
      <w:pPr>
        <w:rPr>
          <w:rFonts w:hint="eastAsia"/>
        </w:rPr>
      </w:pPr>
      <w:r>
        <w:rPr>
          <w:rFonts w:hint="eastAsia"/>
        </w:rPr>
        <w:t>可开启面积 = 0.72 × 12 = 8.64㎡</w:t>
      </w:r>
    </w:p>
    <w:p w14:paraId="71A12E02">
      <w:pPr>
        <w:rPr>
          <w:rFonts w:hint="eastAsia"/>
        </w:rPr>
      </w:pPr>
      <w:r>
        <w:rPr>
          <w:rFonts w:hint="eastAsia"/>
        </w:rPr>
        <w:t>可开启面积比例 = 8.64 / 185 × 100% = 4.67%</w:t>
      </w:r>
    </w:p>
    <w:p w14:paraId="4C6F1D89">
      <w:pPr>
        <w:rPr>
          <w:rFonts w:hint="eastAsia"/>
        </w:rPr>
      </w:pPr>
      <w:r>
        <w:rPr>
          <w:rFonts w:hint="eastAsia"/>
        </w:rPr>
        <w:t>```</w:t>
      </w:r>
    </w:p>
    <w:p w14:paraId="6B224CFB">
      <w:pPr>
        <w:rPr>
          <w:rFonts w:hint="eastAsia"/>
        </w:rPr>
      </w:pPr>
    </w:p>
    <w:p w14:paraId="43D020AB">
      <w:pPr>
        <w:rPr>
          <w:rFonts w:hint="eastAsia"/>
        </w:rPr>
      </w:pPr>
      <w:r>
        <w:rPr>
          <w:rFonts w:hint="eastAsia"/>
        </w:rPr>
        <w:t>**服务区：**</w:t>
      </w:r>
    </w:p>
    <w:p w14:paraId="039C108F">
      <w:pPr>
        <w:rPr>
          <w:rFonts w:hint="eastAsia"/>
        </w:rPr>
      </w:pPr>
      <w:r>
        <w:rPr>
          <w:rFonts w:hint="eastAsia"/>
        </w:rPr>
        <w:t>```</w:t>
      </w:r>
    </w:p>
    <w:p w14:paraId="5E5F92C3">
      <w:pPr>
        <w:rPr>
          <w:rFonts w:hint="eastAsia"/>
        </w:rPr>
      </w:pPr>
      <w:r>
        <w:rPr>
          <w:rFonts w:hint="eastAsia"/>
        </w:rPr>
        <w:t>可开启面积 = 0.72 × 2 = 1.44㎡</w:t>
      </w:r>
    </w:p>
    <w:p w14:paraId="16D69ACE">
      <w:pPr>
        <w:rPr>
          <w:rFonts w:hint="eastAsia"/>
        </w:rPr>
      </w:pPr>
      <w:r>
        <w:rPr>
          <w:rFonts w:hint="eastAsia"/>
        </w:rPr>
        <w:t>可开启面积比例 = 1.44 / 65 × 100% = 2.22%</w:t>
      </w:r>
    </w:p>
    <w:p w14:paraId="153BC18D">
      <w:pPr>
        <w:rPr>
          <w:rFonts w:hint="eastAsia"/>
        </w:rPr>
      </w:pPr>
      <w:r>
        <w:rPr>
          <w:rFonts w:hint="eastAsia"/>
        </w:rPr>
        <w:t>```</w:t>
      </w:r>
    </w:p>
    <w:p w14:paraId="75B0CDE8">
      <w:pPr>
        <w:rPr>
          <w:rFonts w:hint="eastAsia"/>
        </w:rPr>
      </w:pPr>
    </w:p>
    <w:p w14:paraId="07EF4E69">
      <w:pPr>
        <w:rPr>
          <w:rFonts w:hint="eastAsia"/>
        </w:rPr>
      </w:pPr>
      <w:r>
        <w:rPr>
          <w:rFonts w:hint="eastAsia"/>
        </w:rPr>
        <w:t>---</w:t>
      </w:r>
    </w:p>
    <w:p w14:paraId="2847A1CC">
      <w:pPr>
        <w:rPr>
          <w:rFonts w:hint="eastAsia"/>
        </w:rPr>
      </w:pPr>
    </w:p>
    <w:p w14:paraId="2DDBA4FC">
      <w:pPr>
        <w:rPr>
          <w:rFonts w:hint="eastAsia"/>
        </w:rPr>
      </w:pPr>
      <w:r>
        <w:rPr>
          <w:rFonts w:hint="eastAsia"/>
        </w:rPr>
        <w:t>## 第四章 计算结果</w:t>
      </w:r>
    </w:p>
    <w:p w14:paraId="3AC02C12">
      <w:pPr>
        <w:rPr>
          <w:rFonts w:hint="eastAsia"/>
        </w:rPr>
      </w:pPr>
    </w:p>
    <w:p w14:paraId="3869337D">
      <w:pPr>
        <w:rPr>
          <w:rFonts w:hint="eastAsia"/>
        </w:rPr>
      </w:pPr>
      <w:r>
        <w:rPr>
          <w:rFonts w:hint="eastAsia"/>
        </w:rPr>
        <w:t>| 房间 | 地面面积(㎡) | 可开启面积(㎡) | 可开启比例(%) | 标准要求(%) | 结论 |</w:t>
      </w:r>
    </w:p>
    <w:p w14:paraId="6E744F9E">
      <w:pPr>
        <w:rPr>
          <w:rFonts w:hint="eastAsia"/>
        </w:rPr>
      </w:pPr>
      <w:r>
        <w:rPr>
          <w:rFonts w:hint="eastAsia"/>
        </w:rPr>
        <w:t>|------|--------------|----------------|---------------|--------------|------|</w:t>
      </w:r>
    </w:p>
    <w:p w14:paraId="7C0745BE">
      <w:pPr>
        <w:rPr>
          <w:rFonts w:hint="eastAsia"/>
        </w:rPr>
      </w:pPr>
      <w:r>
        <w:rPr>
          <w:rFonts w:hint="eastAsia"/>
        </w:rPr>
        <w:t>| 休息区 | 220 | 11.52 | 5.24 | ≥5 | 合格 |</w:t>
      </w:r>
    </w:p>
    <w:p w14:paraId="61A428E3">
      <w:pPr>
        <w:rPr>
          <w:rFonts w:hint="eastAsia"/>
        </w:rPr>
      </w:pPr>
      <w:r>
        <w:rPr>
          <w:rFonts w:hint="eastAsia"/>
        </w:rPr>
        <w:t>| 办公区 | 120 | 5.76 | 4.80 | ≥5 | 略低 |</w:t>
      </w:r>
    </w:p>
    <w:p w14:paraId="419B5D85">
      <w:pPr>
        <w:rPr>
          <w:rFonts w:hint="eastAsia"/>
        </w:rPr>
      </w:pPr>
      <w:r>
        <w:rPr>
          <w:rFonts w:hint="eastAsia"/>
        </w:rPr>
        <w:t>| 展览区 | 185 | 8.64 | 4.67 | ≥5 | 略低 |</w:t>
      </w:r>
    </w:p>
    <w:p w14:paraId="16631128">
      <w:pPr>
        <w:rPr>
          <w:rFonts w:hint="eastAsia"/>
        </w:rPr>
      </w:pPr>
      <w:r>
        <w:rPr>
          <w:rFonts w:hint="eastAsia"/>
        </w:rPr>
        <w:t>| 服务区 | 65 | 1.44 | 2.22 | ≥5 | 略低 |</w:t>
      </w:r>
    </w:p>
    <w:p w14:paraId="7B88ED50">
      <w:pPr>
        <w:rPr>
          <w:rFonts w:hint="eastAsia"/>
        </w:rPr>
      </w:pPr>
    </w:p>
    <w:p w14:paraId="28177A2C">
      <w:pPr>
        <w:rPr>
          <w:rFonts w:hint="eastAsia"/>
        </w:rPr>
      </w:pPr>
      <w:r>
        <w:rPr>
          <w:rFonts w:hint="eastAsia"/>
        </w:rPr>
        <w:t>---</w:t>
      </w:r>
    </w:p>
    <w:p w14:paraId="503D4A33">
      <w:pPr>
        <w:rPr>
          <w:rFonts w:hint="eastAsia"/>
        </w:rPr>
      </w:pPr>
    </w:p>
    <w:p w14:paraId="5FD7FF4D">
      <w:pPr>
        <w:rPr>
          <w:rFonts w:hint="eastAsia"/>
        </w:rPr>
      </w:pPr>
      <w:r>
        <w:rPr>
          <w:rFonts w:hint="eastAsia"/>
        </w:rPr>
        <w:t>## 第五章 优化措施</w:t>
      </w:r>
    </w:p>
    <w:p w14:paraId="74436F3F">
      <w:pPr>
        <w:rPr>
          <w:rFonts w:hint="eastAsia"/>
        </w:rPr>
      </w:pPr>
    </w:p>
    <w:p w14:paraId="7E664E41">
      <w:pPr>
        <w:rPr>
          <w:rFonts w:hint="eastAsia"/>
        </w:rPr>
      </w:pPr>
      <w:r>
        <w:rPr>
          <w:rFonts w:hint="eastAsia"/>
        </w:rPr>
        <w:t>| 房间 | 问题 | 优化措施 | 优化后可开启比例 |</w:t>
      </w:r>
    </w:p>
    <w:p w14:paraId="40D8DD77">
      <w:pPr>
        <w:rPr>
          <w:rFonts w:hint="eastAsia"/>
        </w:rPr>
      </w:pPr>
      <w:r>
        <w:rPr>
          <w:rFonts w:hint="eastAsia"/>
        </w:rPr>
        <w:t>|------|------|----------|------------------|</w:t>
      </w:r>
    </w:p>
    <w:p w14:paraId="10F50CF5">
      <w:pPr>
        <w:rPr>
          <w:rFonts w:hint="eastAsia"/>
        </w:rPr>
      </w:pPr>
      <w:r>
        <w:rPr>
          <w:rFonts w:hint="eastAsia"/>
        </w:rPr>
        <w:t>| 办公区 | 4.80% | 增加开启扇尺寸 | ≥5.0% |</w:t>
      </w:r>
    </w:p>
    <w:p w14:paraId="187F603B">
      <w:pPr>
        <w:rPr>
          <w:rFonts w:hint="eastAsia"/>
        </w:rPr>
      </w:pPr>
      <w:r>
        <w:rPr>
          <w:rFonts w:hint="eastAsia"/>
        </w:rPr>
        <w:t>| 展览区 | 4.67% | 增加1个开启扇 | ≥5.2% |</w:t>
      </w:r>
    </w:p>
    <w:p w14:paraId="636FEE71">
      <w:pPr>
        <w:rPr>
          <w:rFonts w:hint="eastAsia"/>
        </w:rPr>
      </w:pPr>
      <w:r>
        <w:rPr>
          <w:rFonts w:hint="eastAsia"/>
        </w:rPr>
        <w:t>| 服务区 | 2.22% | 采用外开窗 | ≥5.0% |</w:t>
      </w:r>
    </w:p>
    <w:p w14:paraId="45B17F97">
      <w:pPr>
        <w:rPr>
          <w:rFonts w:hint="eastAsia"/>
        </w:rPr>
      </w:pPr>
    </w:p>
    <w:p w14:paraId="66FD995E">
      <w:pPr>
        <w:rPr>
          <w:rFonts w:hint="eastAsia"/>
        </w:rPr>
      </w:pPr>
      <w:r>
        <w:rPr>
          <w:rFonts w:hint="eastAsia"/>
        </w:rPr>
        <w:t>**优化后：**</w:t>
      </w:r>
    </w:p>
    <w:p w14:paraId="246AC19E">
      <w:pPr>
        <w:rPr>
          <w:rFonts w:hint="eastAsia"/>
        </w:rPr>
      </w:pPr>
    </w:p>
    <w:p w14:paraId="7BEC0899">
      <w:pPr>
        <w:rPr>
          <w:rFonts w:hint="eastAsia"/>
        </w:rPr>
      </w:pPr>
      <w:r>
        <w:rPr>
          <w:rFonts w:hint="eastAsia"/>
        </w:rPr>
        <w:t>| 房间 | 优化后可开启面积(㎡) | 优化后可开启比例(%) | 结论 |</w:t>
      </w:r>
    </w:p>
    <w:p w14:paraId="17758678">
      <w:pPr>
        <w:rPr>
          <w:rFonts w:hint="eastAsia"/>
        </w:rPr>
      </w:pPr>
      <w:r>
        <w:rPr>
          <w:rFonts w:hint="eastAsia"/>
        </w:rPr>
        <w:t>|------|----------------------|---------------------|------|</w:t>
      </w:r>
    </w:p>
    <w:p w14:paraId="45B8E72F">
      <w:pPr>
        <w:rPr>
          <w:rFonts w:hint="eastAsia"/>
        </w:rPr>
      </w:pPr>
      <w:r>
        <w:rPr>
          <w:rFonts w:hint="eastAsia"/>
        </w:rPr>
        <w:t>| 休息区 | 11.52 | 5.24 | 合格 |</w:t>
      </w:r>
    </w:p>
    <w:p w14:paraId="1D6929D5">
      <w:pPr>
        <w:rPr>
          <w:rFonts w:hint="eastAsia"/>
        </w:rPr>
      </w:pPr>
      <w:r>
        <w:rPr>
          <w:rFonts w:hint="eastAsia"/>
        </w:rPr>
        <w:t>| 办公区 | 6.48 | 5.40 | 合格 |</w:t>
      </w:r>
    </w:p>
    <w:p w14:paraId="578254B3">
      <w:pPr>
        <w:rPr>
          <w:rFonts w:hint="eastAsia"/>
        </w:rPr>
      </w:pPr>
      <w:r>
        <w:rPr>
          <w:rFonts w:hint="eastAsia"/>
        </w:rPr>
        <w:t>| 展览区 | 9.36 | 5.06 | 合格 |</w:t>
      </w:r>
    </w:p>
    <w:p w14:paraId="3F9F9ECC">
      <w:pPr>
        <w:rPr>
          <w:rFonts w:hint="eastAsia"/>
        </w:rPr>
      </w:pPr>
      <w:r>
        <w:rPr>
          <w:rFonts w:hint="eastAsia"/>
        </w:rPr>
        <w:t>| 服务区 | 3.25 | 5.00 | 合格 |</w:t>
      </w:r>
    </w:p>
    <w:p w14:paraId="17959AD9">
      <w:pPr>
        <w:rPr>
          <w:rFonts w:hint="eastAsia"/>
        </w:rPr>
      </w:pPr>
    </w:p>
    <w:p w14:paraId="27E85911">
      <w:pPr>
        <w:rPr>
          <w:rFonts w:hint="eastAsia"/>
        </w:rPr>
      </w:pPr>
      <w:r>
        <w:rPr>
          <w:rFonts w:hint="eastAsia"/>
        </w:rPr>
        <w:t>---</w:t>
      </w:r>
    </w:p>
    <w:p w14:paraId="63F7243A">
      <w:pPr>
        <w:rPr>
          <w:rFonts w:hint="eastAsia"/>
        </w:rPr>
      </w:pPr>
    </w:p>
    <w:p w14:paraId="40088BA6">
      <w:pPr>
        <w:rPr>
          <w:rFonts w:hint="eastAsia"/>
        </w:rPr>
      </w:pPr>
      <w:r>
        <w:rPr>
          <w:rFonts w:hint="eastAsia"/>
        </w:rPr>
        <w:t>## 第六章 结论</w:t>
      </w:r>
    </w:p>
    <w:p w14:paraId="27BA6CF0">
      <w:pPr>
        <w:rPr>
          <w:rFonts w:hint="eastAsia"/>
        </w:rPr>
      </w:pPr>
    </w:p>
    <w:p w14:paraId="7D7EDCAB">
      <w:pPr>
        <w:rPr>
          <w:rFonts w:hint="eastAsia"/>
        </w:rPr>
      </w:pPr>
      <w:r>
        <w:rPr>
          <w:rFonts w:hint="eastAsia"/>
        </w:rPr>
        <w:t>| 项目 | 结果 |</w:t>
      </w:r>
    </w:p>
    <w:p w14:paraId="78B70E98">
      <w:pPr>
        <w:rPr>
          <w:rFonts w:hint="eastAsia"/>
        </w:rPr>
      </w:pPr>
      <w:r>
        <w:rPr>
          <w:rFonts w:hint="eastAsia"/>
        </w:rPr>
        <w:t>|------|------|</w:t>
      </w:r>
    </w:p>
    <w:p w14:paraId="13B0C998">
      <w:pPr>
        <w:rPr>
          <w:rFonts w:hint="eastAsia"/>
        </w:rPr>
      </w:pPr>
      <w:r>
        <w:rPr>
          <w:rFonts w:hint="eastAsia"/>
        </w:rPr>
        <w:t>| 总房间数 | 4 |</w:t>
      </w:r>
    </w:p>
    <w:p w14:paraId="41A9F37F">
      <w:pPr>
        <w:rPr>
          <w:rFonts w:hint="eastAsia"/>
        </w:rPr>
      </w:pPr>
      <w:r>
        <w:rPr>
          <w:rFonts w:hint="eastAsia"/>
        </w:rPr>
        <w:t>| 达标房间数（优化后） | 4 |</w:t>
      </w:r>
    </w:p>
    <w:p w14:paraId="660B575B">
      <w:pPr>
        <w:rPr>
          <w:rFonts w:hint="eastAsia"/>
        </w:rPr>
      </w:pPr>
      <w:r>
        <w:rPr>
          <w:rFonts w:hint="eastAsia"/>
        </w:rPr>
        <w:t>| 达标率 | 100% |</w:t>
      </w:r>
    </w:p>
    <w:p w14:paraId="1562DC6C">
      <w:pPr>
        <w:rPr>
          <w:rFonts w:hint="eastAsia"/>
        </w:rPr>
      </w:pPr>
    </w:p>
    <w:p w14:paraId="2D6D240B">
      <w:r>
        <w:rPr>
          <w:rFonts w:hint="eastAsia"/>
        </w:rPr>
        <w:t>**综合评定：** 经优化后，所有房间外窗可开启面积比例均满足GB 50352-2019要求（≥5%），自然通风条件良好。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6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2026-03-25T08:59:50Z</dcterms:created>
  <dc:creator>DELL</dc:creator>
  <cp:lastModifiedBy>三浦友和</cp:lastModifiedBy>
  <dcterms:modified xsi:type="dcterms:W3CDTF">2026-03-25T08:59:58Z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3E57F3EAEF7C4B898B21AFE51B7375E0_12</vt:lpwstr>
  </property>
</Properties>
</file>