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spacing w:before="480" w:after="480" w:line="288" w:lineRule="auto"/>
        <w:ind w:left="0"/>
      </w:pPr>
      <w:r>
        <w:rPr>
          <w:rFonts w:eastAsia="等线" w:ascii="Arial" w:cs="Arial" w:hAnsi="Arial"/>
          <w:b w:val="true"/>
          <w:sz w:val="52"/>
        </w:rPr>
        <w:t>低碳建材碳足迹报告</w:t>
      </w:r>
    </w:p>
    <w:p>
      <w:pPr>
        <w:spacing w:before="120" w:after="120" w:line="288" w:lineRule="auto"/>
        <w:ind w:left="0"/>
        <w:jc w:val="left"/>
      </w:pPr>
      <w:r>
        <w:rPr>
          <w:rFonts w:eastAsia="等线" w:ascii="Arial" w:cs="Arial" w:hAnsi="Arial"/>
          <w:b w:val="true"/>
          <w:sz w:val="22"/>
        </w:rPr>
        <w:t>项目名称</w:t>
      </w:r>
      <w:r>
        <w:rPr>
          <w:rFonts w:eastAsia="等线" w:ascii="Arial" w:cs="Arial" w:hAnsi="Arial"/>
          <w:sz w:val="22"/>
        </w:rPr>
        <w:t>：徽厅聚绿·天井承合——徽派建筑绿色营造智慧在城市会客厅设计的转译实践</w:t>
      </w:r>
    </w:p>
    <w:p>
      <w:pPr>
        <w:spacing w:before="120" w:after="120" w:line="288" w:lineRule="auto"/>
        <w:ind w:left="0"/>
        <w:jc w:val="left"/>
      </w:pPr>
      <w:r>
        <w:rPr>
          <w:rFonts w:eastAsia="等线" w:ascii="Arial" w:cs="Arial" w:hAnsi="Arial"/>
          <w:b w:val="true"/>
          <w:sz w:val="22"/>
        </w:rPr>
        <w:t>报告编号</w:t>
      </w:r>
      <w:r>
        <w:rPr>
          <w:rFonts w:eastAsia="等线" w:ascii="Arial" w:cs="Arial" w:hAnsi="Arial"/>
          <w:sz w:val="22"/>
        </w:rPr>
        <w:t>：LC-2026-0322</w:t>
      </w:r>
    </w:p>
    <w:p>
      <w:pPr>
        <w:spacing w:before="120" w:after="120" w:line="288" w:lineRule="auto"/>
        <w:ind w:left="0"/>
        <w:jc w:val="left"/>
      </w:pPr>
      <w:r>
        <w:rPr>
          <w:rFonts w:eastAsia="等线" w:ascii="Arial" w:cs="Arial" w:hAnsi="Arial"/>
          <w:b w:val="true"/>
          <w:sz w:val="22"/>
        </w:rPr>
        <w:t>编制单位</w:t>
      </w:r>
      <w:r>
        <w:rPr>
          <w:rFonts w:eastAsia="等线" w:ascii="Arial" w:cs="Arial" w:hAnsi="Arial"/>
          <w:sz w:val="22"/>
        </w:rPr>
        <w:t>：安徽建筑大学 建筑与规划学院</w:t>
      </w:r>
    </w:p>
    <w:p>
      <w:pPr>
        <w:spacing w:before="120" w:after="120" w:line="288" w:lineRule="auto"/>
        <w:ind w:left="0"/>
        <w:jc w:val="left"/>
      </w:pPr>
      <w:r>
        <w:rPr>
          <w:rFonts w:eastAsia="等线" w:ascii="Arial" w:cs="Arial" w:hAnsi="Arial"/>
          <w:b w:val="true"/>
          <w:sz w:val="22"/>
        </w:rPr>
        <w:t>编制日期</w:t>
      </w:r>
      <w:r>
        <w:rPr>
          <w:rFonts w:eastAsia="等线" w:ascii="Arial" w:cs="Arial" w:hAnsi="Arial"/>
          <w:sz w:val="22"/>
        </w:rPr>
        <w:t>：2026年3月22日</w:t>
      </w:r>
    </w:p>
    <w:p>
      <w:pPr>
        <w:spacing w:before="120" w:after="120" w:line="288" w:lineRule="auto"/>
        <w:ind w:left="0"/>
        <w:jc w:val="left"/>
      </w:pPr>
      <w:r>
        <w:rPr>
          <w:rFonts w:eastAsia="等线" w:ascii="Arial" w:cs="Arial" w:hAnsi="Arial"/>
          <w:b w:val="true"/>
          <w:sz w:val="22"/>
        </w:rPr>
        <w:t>设计人</w:t>
      </w:r>
      <w:r>
        <w:rPr>
          <w:rFonts w:eastAsia="等线" w:ascii="Arial" w:cs="Arial" w:hAnsi="Arial"/>
          <w:sz w:val="22"/>
        </w:rPr>
        <w:t>：陈子琦</w:t>
      </w:r>
    </w:p>
    <w:p>
      <w:pPr>
        <w:spacing w:before="120" w:after="120" w:line="288" w:lineRule="auto"/>
        <w:ind w:left="0"/>
        <w:jc w:val="left"/>
      </w:pPr>
      <w:r>
        <w:rPr>
          <w:rFonts w:eastAsia="等线" w:ascii="Arial" w:cs="Arial" w:hAnsi="Arial"/>
          <w:b w:val="true"/>
          <w:sz w:val="22"/>
        </w:rPr>
        <w:t>审核人</w:t>
      </w:r>
      <w:r>
        <w:rPr>
          <w:rFonts w:eastAsia="等线" w:ascii="Arial" w:cs="Arial" w:hAnsi="Arial"/>
          <w:sz w:val="22"/>
        </w:rPr>
        <w:t>：许杰青</w:t>
      </w:r>
    </w:p>
    <w:p>
      <w:pPr>
        <w:spacing w:before="120" w:after="120" w:line="288" w:lineRule="auto"/>
        <w:ind w:left="0"/>
        <w:jc w:val="left"/>
      </w:pPr>
      <w:r>
        <w:rPr>
          <w:rFonts w:eastAsia="等线" w:ascii="Arial" w:cs="Arial" w:hAnsi="Arial"/>
          <w:b w:val="true"/>
          <w:sz w:val="22"/>
        </w:rPr>
        <w:t>审定人</w:t>
      </w:r>
      <w:r>
        <w:rPr>
          <w:rFonts w:eastAsia="等线" w:ascii="Arial" w:cs="Arial" w:hAnsi="Arial"/>
          <w:sz w:val="22"/>
        </w:rPr>
        <w:t>：陈萨如拉</w:t>
      </w:r>
    </w:p>
    <w:p>
      <w:pPr>
        <w:pBdr>
          <w:bottom w:val="single" w:color="dee0e3"/>
          <w:between w:val="single" w:color="dee0e3"/>
        </w:pBdr>
        <w:spacing w:before="120" w:after="120" w:line="288" w:lineRule="auto"/>
        <w:ind w:left="0"/>
      </w:pPr>
    </w:p>
    <w:p>
      <w:pPr>
        <w:pStyle w:val="2"/>
        <w:spacing w:before="320" w:after="120" w:line="288" w:lineRule="auto"/>
        <w:ind w:left="0"/>
        <w:jc w:val="left"/>
        <w:outlineLvl w:val="1"/>
      </w:pPr>
      <w:bookmarkStart w:name="heading_0" w:id="0"/>
      <w:r>
        <w:rPr>
          <w:rFonts w:eastAsia="等线" w:ascii="Arial" w:cs="Arial" w:hAnsi="Arial"/>
          <w:b w:val="true"/>
          <w:sz w:val="32"/>
        </w:rPr>
        <w:t>一、项目概述</w:t>
      </w:r>
      <w:bookmarkEnd w:id="0"/>
    </w:p>
    <w:p>
      <w:pPr>
        <w:pStyle w:val="3"/>
        <w:spacing w:before="300" w:after="120" w:line="288" w:lineRule="auto"/>
        <w:ind w:left="0"/>
        <w:jc w:val="left"/>
        <w:outlineLvl w:val="2"/>
      </w:pPr>
      <w:bookmarkStart w:name="heading_1" w:id="1"/>
      <w:r>
        <w:rPr>
          <w:rFonts w:eastAsia="等线" w:ascii="Arial" w:cs="Arial" w:hAnsi="Arial"/>
          <w:b w:val="true"/>
          <w:sz w:val="30"/>
        </w:rPr>
        <w:t>1.1 项目基本信息</w:t>
      </w:r>
      <w:bookmarkEnd w:id="1"/>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3000"/>
        <w:gridCol w:w="3000"/>
      </w:tblGrid>
      <w:tr>
        <w:tc>
          <w:tcPr>
            <w:tcW w:w="30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项目</w:t>
            </w:r>
          </w:p>
        </w:tc>
        <w:tc>
          <w:tcPr>
            <w:tcW w:w="30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内容</w:t>
            </w:r>
          </w:p>
        </w:tc>
      </w:tr>
      <w:tr>
        <w:tc>
          <w:tcPr>
            <w:tcW w:w="30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工程地点</w:t>
            </w:r>
          </w:p>
        </w:tc>
        <w:tc>
          <w:tcPr>
            <w:tcW w:w="30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安徽省合肥市</w:t>
            </w:r>
          </w:p>
        </w:tc>
      </w:tr>
      <w:tr>
        <w:tc>
          <w:tcPr>
            <w:tcW w:w="30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建筑类型</w:t>
            </w:r>
          </w:p>
        </w:tc>
        <w:tc>
          <w:tcPr>
            <w:tcW w:w="30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公共建筑（城市会客厅）</w:t>
            </w:r>
          </w:p>
        </w:tc>
      </w:tr>
      <w:tr>
        <w:tc>
          <w:tcPr>
            <w:tcW w:w="30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总建筑面积</w:t>
            </w:r>
          </w:p>
        </w:tc>
        <w:tc>
          <w:tcPr>
            <w:tcW w:w="30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6899 ㎡（地上）</w:t>
            </w:r>
          </w:p>
        </w:tc>
      </w:tr>
      <w:tr>
        <w:tc>
          <w:tcPr>
            <w:tcW w:w="30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建筑层数</w:t>
            </w:r>
          </w:p>
        </w:tc>
        <w:tc>
          <w:tcPr>
            <w:tcW w:w="30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地上四层</w:t>
            </w:r>
          </w:p>
        </w:tc>
      </w:tr>
      <w:tr>
        <w:tc>
          <w:tcPr>
            <w:tcW w:w="30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建筑高度</w:t>
            </w:r>
          </w:p>
        </w:tc>
        <w:tc>
          <w:tcPr>
            <w:tcW w:w="30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18 m</w:t>
            </w:r>
          </w:p>
        </w:tc>
      </w:tr>
      <w:tr>
        <w:tc>
          <w:tcPr>
            <w:tcW w:w="30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结构形式</w:t>
            </w:r>
          </w:p>
        </w:tc>
        <w:tc>
          <w:tcPr>
            <w:tcW w:w="30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框架结构</w:t>
            </w:r>
          </w:p>
        </w:tc>
      </w:tr>
    </w:tbl>
    <w:p>
      <w:pPr>
        <w:pStyle w:val="3"/>
        <w:spacing w:before="300" w:after="120" w:line="288" w:lineRule="auto"/>
        <w:ind w:left="0"/>
        <w:jc w:val="left"/>
        <w:outlineLvl w:val="2"/>
      </w:pPr>
      <w:bookmarkStart w:name="heading_2" w:id="2"/>
      <w:r>
        <w:rPr>
          <w:rFonts w:eastAsia="等线" w:ascii="Arial" w:cs="Arial" w:hAnsi="Arial"/>
          <w:b w:val="true"/>
          <w:sz w:val="30"/>
        </w:rPr>
        <w:t>1.2 编制依据</w:t>
      </w:r>
      <w:bookmarkEnd w:id="2"/>
    </w:p>
    <w:p>
      <w:pPr>
        <w:spacing w:before="120" w:after="120" w:line="288" w:lineRule="auto"/>
        <w:ind w:left="0"/>
        <w:jc w:val="left"/>
      </w:pPr>
      <w:r>
        <w:rPr>
          <w:rFonts w:eastAsia="等线" w:ascii="Arial" w:cs="Arial" w:hAnsi="Arial"/>
          <w:sz w:val="22"/>
        </w:rPr>
        <w:t>本报告依据《建筑碳排放计算标准》GB/T 51366-2019、《绿色建筑评价标准》GB/T 50378-2019（2024年版）及相关行业规范，对项目主要建材进行全生命周期碳足迹核算，为项目低碳设计与绿色建筑评价提供数据支撑。</w:t>
      </w:r>
    </w:p>
    <w:p>
      <w:pPr>
        <w:pBdr>
          <w:bottom w:val="single" w:color="dee0e3"/>
          <w:between w:val="single" w:color="dee0e3"/>
        </w:pBdr>
        <w:spacing w:before="120" w:after="120" w:line="288" w:lineRule="auto"/>
        <w:ind w:left="0"/>
      </w:pPr>
    </w:p>
    <w:p>
      <w:pPr>
        <w:pStyle w:val="2"/>
        <w:spacing w:before="320" w:after="120" w:line="288" w:lineRule="auto"/>
        <w:ind w:left="0"/>
        <w:jc w:val="left"/>
        <w:outlineLvl w:val="1"/>
      </w:pPr>
      <w:bookmarkStart w:name="heading_3" w:id="3"/>
      <w:r>
        <w:rPr>
          <w:rFonts w:eastAsia="等线" w:ascii="Arial" w:cs="Arial" w:hAnsi="Arial"/>
          <w:b w:val="true"/>
          <w:sz w:val="32"/>
        </w:rPr>
        <w:t>二、核算范围与方法</w:t>
      </w:r>
      <w:bookmarkEnd w:id="3"/>
    </w:p>
    <w:p>
      <w:pPr>
        <w:pStyle w:val="3"/>
        <w:spacing w:before="300" w:after="120" w:line="288" w:lineRule="auto"/>
        <w:ind w:left="0"/>
        <w:jc w:val="left"/>
        <w:outlineLvl w:val="2"/>
      </w:pPr>
      <w:bookmarkStart w:name="heading_4" w:id="4"/>
      <w:r>
        <w:rPr>
          <w:rFonts w:eastAsia="等线" w:ascii="Arial" w:cs="Arial" w:hAnsi="Arial"/>
          <w:b w:val="true"/>
          <w:sz w:val="30"/>
        </w:rPr>
        <w:t>2.1 核算边界</w:t>
      </w:r>
      <w:bookmarkEnd w:id="4"/>
    </w:p>
    <w:p>
      <w:pPr>
        <w:spacing w:before="120" w:after="120" w:line="288" w:lineRule="auto"/>
        <w:ind w:left="0"/>
        <w:jc w:val="left"/>
      </w:pPr>
      <w:r>
        <w:rPr>
          <w:rFonts w:eastAsia="等线" w:ascii="Arial" w:cs="Arial" w:hAnsi="Arial"/>
          <w:sz w:val="22"/>
        </w:rPr>
        <w:t>本次碳足迹核算范围涵盖</w:t>
      </w:r>
      <w:r>
        <w:rPr>
          <w:rFonts w:eastAsia="等线" w:ascii="Arial" w:cs="Arial" w:hAnsi="Arial"/>
          <w:b w:val="true"/>
          <w:sz w:val="22"/>
        </w:rPr>
        <w:t>建材生产阶段</w:t>
      </w:r>
      <w:r>
        <w:rPr>
          <w:rFonts w:eastAsia="等线" w:ascii="Arial" w:cs="Arial" w:hAnsi="Arial"/>
          <w:sz w:val="22"/>
        </w:rPr>
        <w:t>与</w:t>
      </w:r>
      <w:r>
        <w:rPr>
          <w:rFonts w:eastAsia="等线" w:ascii="Arial" w:cs="Arial" w:hAnsi="Arial"/>
          <w:b w:val="true"/>
          <w:sz w:val="22"/>
        </w:rPr>
        <w:t>运输阶段</w:t>
      </w:r>
      <w:r>
        <w:rPr>
          <w:rFonts w:eastAsia="等线" w:ascii="Arial" w:cs="Arial" w:hAnsi="Arial"/>
          <w:sz w:val="22"/>
        </w:rPr>
        <w:t>，不包含建造施工、运营及拆除阶段。</w:t>
      </w:r>
    </w:p>
    <w:p>
      <w:pPr>
        <w:numPr>
          <w:numId w:val="1"/>
        </w:numPr>
        <w:spacing w:before="120" w:after="120" w:line="288" w:lineRule="auto"/>
        <w:ind w:left="0"/>
        <w:jc w:val="left"/>
      </w:pPr>
      <w:r>
        <w:rPr>
          <w:rFonts w:eastAsia="等线" w:ascii="Arial" w:cs="Arial" w:hAnsi="Arial"/>
          <w:b w:val="true"/>
          <w:sz w:val="22"/>
        </w:rPr>
        <w:t>生产阶段</w:t>
      </w:r>
      <w:r>
        <w:rPr>
          <w:rFonts w:eastAsia="等线" w:ascii="Arial" w:cs="Arial" w:hAnsi="Arial"/>
          <w:sz w:val="22"/>
        </w:rPr>
        <w:t>：从原材料开采、加工生产至成品出厂的碳排放。</w:t>
      </w:r>
    </w:p>
    <w:p>
      <w:pPr>
        <w:numPr>
          <w:numId w:val="2"/>
        </w:numPr>
        <w:spacing w:before="120" w:after="120" w:line="288" w:lineRule="auto"/>
        <w:ind w:left="0"/>
        <w:jc w:val="left"/>
      </w:pPr>
      <w:r>
        <w:rPr>
          <w:rFonts w:eastAsia="等线" w:ascii="Arial" w:cs="Arial" w:hAnsi="Arial"/>
          <w:b w:val="true"/>
          <w:sz w:val="22"/>
        </w:rPr>
        <w:t>运输阶段</w:t>
      </w:r>
      <w:r>
        <w:rPr>
          <w:rFonts w:eastAsia="等线" w:ascii="Arial" w:cs="Arial" w:hAnsi="Arial"/>
          <w:sz w:val="22"/>
        </w:rPr>
        <w:t>：从生产厂到项目现场的运输碳排放，默认运输距离按合肥本地建材运输半径计算。</w:t>
      </w:r>
    </w:p>
    <w:p>
      <w:pPr>
        <w:pStyle w:val="3"/>
        <w:spacing w:before="300" w:after="120" w:line="288" w:lineRule="auto"/>
        <w:ind w:left="0"/>
        <w:jc w:val="left"/>
        <w:outlineLvl w:val="2"/>
      </w:pPr>
      <w:bookmarkStart w:name="heading_5" w:id="5"/>
      <w:r>
        <w:rPr>
          <w:rFonts w:eastAsia="等线" w:ascii="Arial" w:cs="Arial" w:hAnsi="Arial"/>
          <w:b w:val="true"/>
          <w:sz w:val="30"/>
        </w:rPr>
        <w:t>2.2 核算方法</w:t>
      </w:r>
      <w:bookmarkEnd w:id="5"/>
    </w:p>
    <w:p>
      <w:pPr>
        <w:spacing w:before="120" w:after="120" w:line="288" w:lineRule="auto"/>
        <w:ind w:left="0"/>
        <w:jc w:val="left"/>
      </w:pPr>
      <w:r>
        <w:rPr>
          <w:rFonts w:eastAsia="等线" w:ascii="Arial" w:cs="Arial" w:hAnsi="Arial"/>
          <w:sz w:val="22"/>
        </w:rPr>
        <w:t>采用</w:t>
      </w:r>
      <w:r>
        <w:rPr>
          <w:rFonts w:eastAsia="等线" w:ascii="Arial" w:cs="Arial" w:hAnsi="Arial"/>
          <w:b w:val="true"/>
          <w:sz w:val="22"/>
        </w:rPr>
        <w:t>过程分析法</w:t>
      </w:r>
      <w:r>
        <w:rPr>
          <w:rFonts w:eastAsia="等线" w:ascii="Arial" w:cs="Arial" w:hAnsi="Arial"/>
          <w:sz w:val="22"/>
        </w:rPr>
        <w:t>，依据GB/T 51366标准中的碳排放因子，结合项目实际建材用量，计算单位面积碳排放强度（kgCO₂/㎡）。</w:t>
      </w:r>
    </w:p>
    <w:p>
      <w:pPr>
        <w:spacing w:before="120" w:after="120" w:line="288" w:lineRule="auto"/>
        <w:ind w:left="0"/>
        <w:jc w:val="left"/>
      </w:pPr>
      <w:r>
        <w:rPr>
          <w:rFonts w:eastAsia="等线" w:ascii="Arial" w:cs="Arial" w:hAnsi="Arial"/>
          <w:b w:val="true"/>
          <w:sz w:val="22"/>
        </w:rPr>
        <w:t>核心公式</w:t>
      </w:r>
      <w:r>
        <w:rPr>
          <w:rFonts w:eastAsia="等线" w:ascii="Arial" w:cs="Arial" w:hAnsi="Arial"/>
          <w:sz w:val="22"/>
        </w:rPr>
        <w:t>：</w:t>
      </w:r>
    </w:p>
    <w:p>
      <w:pPr>
        <w:spacing w:before="120" w:after="120" w:line="288" w:lineRule="auto"/>
        <w:ind w:left="0"/>
        <w:jc w:val="left"/>
      </w:pPr>
      <w:r>
        <w:rPr>
          <w:rFonts w:eastAsia="等线" w:ascii="Arial" w:cs="Arial" w:hAnsi="Arial"/>
          <w:sz w:val="22"/>
        </w:rPr>
        <w:t>[</w:t>
      </w:r>
    </w:p>
    <w:p>
      <w:pPr>
        <w:spacing w:before="120" w:after="120" w:line="288" w:lineRule="auto"/>
        <w:ind w:left="0"/>
        <w:jc w:val="left"/>
      </w:pPr>
      <w:r>
        <w:rPr>
          <w:rFonts w:eastAsia="等线" w:ascii="Arial" w:cs="Arial" w:hAnsi="Arial"/>
          <w:sz w:val="22"/>
        </w:rPr>
        <w:t>\text{碳排放量} = \sum (\text{材料用量} \times \text{对应碳排因子})</w:t>
      </w:r>
    </w:p>
    <w:p>
      <w:pPr>
        <w:spacing w:before="120" w:after="120" w:line="288" w:lineRule="auto"/>
        <w:ind w:left="0"/>
        <w:jc w:val="left"/>
      </w:pPr>
      <w:r>
        <w:rPr>
          <w:rFonts w:eastAsia="等线" w:ascii="Arial" w:cs="Arial" w:hAnsi="Arial"/>
          <w:sz w:val="22"/>
        </w:rPr>
        <w:t>]</w:t>
      </w:r>
    </w:p>
    <w:p>
      <w:pPr>
        <w:spacing w:before="120" w:after="120" w:line="288" w:lineRule="auto"/>
        <w:ind w:left="0"/>
        <w:jc w:val="left"/>
      </w:pPr>
      <w:r>
        <w:rPr>
          <w:rFonts w:eastAsia="等线" w:ascii="Arial" w:cs="Arial" w:hAnsi="Arial"/>
          <w:sz w:val="22"/>
        </w:rPr>
        <w:t>[</w:t>
      </w:r>
    </w:p>
    <w:p>
      <w:pPr>
        <w:spacing w:before="120" w:after="120" w:line="288" w:lineRule="auto"/>
        <w:ind w:left="0"/>
        <w:jc w:val="left"/>
      </w:pPr>
      <w:r>
        <w:rPr>
          <w:rFonts w:eastAsia="等线" w:ascii="Arial" w:cs="Arial" w:hAnsi="Arial"/>
          <w:sz w:val="22"/>
        </w:rPr>
        <w:t>\text{单位面积碳排放量} = \frac{\text{总碳排放量}}{\text{总建筑面积}}</w:t>
      </w:r>
    </w:p>
    <w:p>
      <w:pPr>
        <w:spacing w:before="120" w:after="120" w:line="288" w:lineRule="auto"/>
        <w:ind w:left="0"/>
        <w:jc w:val="left"/>
      </w:pPr>
      <w:r>
        <w:rPr>
          <w:rFonts w:eastAsia="等线" w:ascii="Arial" w:cs="Arial" w:hAnsi="Arial"/>
          <w:sz w:val="22"/>
        </w:rPr>
        <w:t>]</w:t>
      </w:r>
    </w:p>
    <w:p>
      <w:pPr>
        <w:pBdr>
          <w:bottom w:val="single" w:color="dee0e3"/>
          <w:between w:val="single" w:color="dee0e3"/>
        </w:pBdr>
        <w:spacing w:before="120" w:after="120" w:line="288" w:lineRule="auto"/>
        <w:ind w:left="0"/>
      </w:pPr>
    </w:p>
    <w:p>
      <w:pPr>
        <w:pStyle w:val="2"/>
        <w:spacing w:before="320" w:after="120" w:line="288" w:lineRule="auto"/>
        <w:ind w:left="0"/>
        <w:jc w:val="left"/>
        <w:outlineLvl w:val="1"/>
      </w:pPr>
      <w:bookmarkStart w:name="heading_6" w:id="6"/>
      <w:r>
        <w:rPr>
          <w:rFonts w:eastAsia="等线" w:ascii="Arial" w:cs="Arial" w:hAnsi="Arial"/>
          <w:b w:val="true"/>
          <w:sz w:val="32"/>
        </w:rPr>
        <w:t>三、主要建材碳足迹核算</w:t>
      </w:r>
      <w:bookmarkEnd w:id="6"/>
    </w:p>
    <w:p>
      <w:pPr>
        <w:pStyle w:val="3"/>
        <w:spacing w:before="300" w:after="120" w:line="288" w:lineRule="auto"/>
        <w:ind w:left="0"/>
        <w:jc w:val="left"/>
        <w:outlineLvl w:val="2"/>
      </w:pPr>
      <w:bookmarkStart w:name="heading_7" w:id="7"/>
      <w:r>
        <w:rPr>
          <w:rFonts w:eastAsia="等线" w:ascii="Arial" w:cs="Arial" w:hAnsi="Arial"/>
          <w:b w:val="true"/>
          <w:sz w:val="30"/>
        </w:rPr>
        <w:t>3.1 土建及结构材料</w:t>
      </w:r>
      <w:bookmarkEnd w:id="7"/>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1380"/>
        <w:gridCol w:w="1380"/>
        <w:gridCol w:w="1380"/>
        <w:gridCol w:w="1380"/>
        <w:gridCol w:w="1380"/>
        <w:gridCol w:w="1380"/>
      </w:tblGrid>
      <w:tr>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材料名称</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单位</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用量</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碳排因子 (kgCO₂/t)</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碳排放量 (tCO₂)</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单位面积排放 (kg/㎡)</w:t>
            </w:r>
          </w:p>
        </w:tc>
      </w:tr>
      <w:tr>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商品混凝土</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m³</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820</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210</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172.2</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209.9</w:t>
            </w:r>
          </w:p>
        </w:tc>
      </w:tr>
      <w:tr>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热轧带肋钢筋</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t</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35</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2200</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77.0</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93.9</w:t>
            </w:r>
          </w:p>
        </w:tc>
      </w:tr>
      <w:tr>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蒸压加气混凝土砌块</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m³</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150</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180</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27.0</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32.9</w:t>
            </w:r>
          </w:p>
        </w:tc>
      </w:tr>
      <w:tr>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普通烧结砖</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千块</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120</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1500</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180.0</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219.5</w:t>
            </w:r>
          </w:p>
        </w:tc>
      </w:tr>
      <w:tr>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b w:val="true"/>
                <w:sz w:val="22"/>
              </w:rPr>
              <w:t>结构材料小计</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b w:val="true"/>
                <w:sz w:val="22"/>
              </w:rPr>
              <w:t>456.2</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b w:val="true"/>
                <w:sz w:val="22"/>
              </w:rPr>
              <w:t>556.3</w:t>
            </w:r>
          </w:p>
        </w:tc>
      </w:tr>
    </w:tbl>
    <w:p>
      <w:pPr>
        <w:pStyle w:val="3"/>
        <w:spacing w:before="300" w:after="120" w:line="288" w:lineRule="auto"/>
        <w:ind w:left="0"/>
        <w:jc w:val="left"/>
        <w:outlineLvl w:val="2"/>
      </w:pPr>
      <w:bookmarkStart w:name="heading_8" w:id="8"/>
      <w:r>
        <w:rPr>
          <w:rFonts w:eastAsia="等线" w:ascii="Arial" w:cs="Arial" w:hAnsi="Arial"/>
          <w:b w:val="true"/>
          <w:sz w:val="30"/>
        </w:rPr>
        <w:t>3.2 围护结构材料</w:t>
      </w:r>
      <w:bookmarkEnd w:id="8"/>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1380"/>
        <w:gridCol w:w="1380"/>
        <w:gridCol w:w="1380"/>
        <w:gridCol w:w="1380"/>
        <w:gridCol w:w="1380"/>
        <w:gridCol w:w="1380"/>
      </w:tblGrid>
      <w:tr>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材料名称</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单位</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用量</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碳排因子 (kgCO₂/t)</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碳排放量 (tCO₂)</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单位面积排放 (kg/㎡)</w:t>
            </w:r>
          </w:p>
        </w:tc>
      </w:tr>
      <w:tr>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断桥铝合金窗</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320</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1200</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38.4</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46.8</w:t>
            </w:r>
          </w:p>
        </w:tc>
      </w:tr>
      <w:tr>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Low-E中空玻璃</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320</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850</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27.2</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33.2</w:t>
            </w:r>
          </w:p>
        </w:tc>
      </w:tr>
      <w:tr>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外墙真石漆</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650</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120</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7.8</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9.5</w:t>
            </w:r>
          </w:p>
        </w:tc>
      </w:tr>
      <w:tr>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金属屋面系统</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450</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1500</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67.5</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82.3</w:t>
            </w:r>
          </w:p>
        </w:tc>
      </w:tr>
      <w:tr>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保温材料（挤塑板）</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m³</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35</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1200</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42.0</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51.2</w:t>
            </w:r>
          </w:p>
        </w:tc>
      </w:tr>
      <w:tr>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b w:val="true"/>
                <w:sz w:val="22"/>
              </w:rPr>
              <w:t>围护材料小计</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b w:val="true"/>
                <w:sz w:val="22"/>
              </w:rPr>
              <w:t>182.9</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b w:val="true"/>
                <w:sz w:val="22"/>
              </w:rPr>
              <w:t>222.9</w:t>
            </w:r>
          </w:p>
        </w:tc>
      </w:tr>
    </w:tbl>
    <w:p>
      <w:pPr>
        <w:pStyle w:val="3"/>
        <w:spacing w:before="300" w:after="120" w:line="288" w:lineRule="auto"/>
        <w:ind w:left="0"/>
        <w:jc w:val="left"/>
        <w:outlineLvl w:val="2"/>
      </w:pPr>
      <w:bookmarkStart w:name="heading_9" w:id="9"/>
      <w:r>
        <w:rPr>
          <w:rFonts w:eastAsia="等线" w:ascii="Arial" w:cs="Arial" w:hAnsi="Arial"/>
          <w:b w:val="true"/>
          <w:sz w:val="30"/>
        </w:rPr>
        <w:t>3.3 装饰及安装材料</w:t>
      </w:r>
      <w:bookmarkEnd w:id="9"/>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1380"/>
        <w:gridCol w:w="1380"/>
        <w:gridCol w:w="1380"/>
        <w:gridCol w:w="1380"/>
        <w:gridCol w:w="1380"/>
        <w:gridCol w:w="1380"/>
      </w:tblGrid>
      <w:tr>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材料名称</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单位</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用量</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碳排因子 (kgCO₂/t)</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碳排放量 (tCO₂)</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单位面积排放 (kg/㎡)</w:t>
            </w:r>
          </w:p>
        </w:tc>
      </w:tr>
      <w:tr>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室内乳胶漆</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t</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15</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1600</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24.0</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29.3</w:t>
            </w:r>
          </w:p>
        </w:tc>
      </w:tr>
      <w:tr>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环保地板/地砖</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600</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1500</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90.0</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109.8</w:t>
            </w:r>
          </w:p>
        </w:tc>
      </w:tr>
      <w:tr>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电缆/电线</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t</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8</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2800</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22.4</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27.3</w:t>
            </w:r>
          </w:p>
        </w:tc>
      </w:tr>
      <w:tr>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给排水管材</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t</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12</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2500</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30.0</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36.6</w:t>
            </w:r>
          </w:p>
        </w:tc>
      </w:tr>
      <w:tr>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b w:val="true"/>
                <w:sz w:val="22"/>
              </w:rPr>
              <w:t>装饰材料小计</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b w:val="true"/>
                <w:sz w:val="22"/>
              </w:rPr>
              <w:t>166.4</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b w:val="true"/>
                <w:sz w:val="22"/>
              </w:rPr>
              <w:t>202.9</w:t>
            </w:r>
          </w:p>
        </w:tc>
      </w:tr>
    </w:tbl>
    <w:p>
      <w:pPr>
        <w:pBdr>
          <w:bottom w:val="single" w:color="dee0e3"/>
          <w:between w:val="single" w:color="dee0e3"/>
        </w:pBdr>
        <w:spacing w:before="120" w:after="120" w:line="288" w:lineRule="auto"/>
        <w:ind w:left="0"/>
      </w:pPr>
    </w:p>
    <w:p>
      <w:pPr>
        <w:pStyle w:val="2"/>
        <w:spacing w:before="320" w:after="120" w:line="288" w:lineRule="auto"/>
        <w:ind w:left="0"/>
        <w:jc w:val="left"/>
        <w:outlineLvl w:val="1"/>
      </w:pPr>
      <w:bookmarkStart w:name="heading_10" w:id="10"/>
      <w:r>
        <w:rPr>
          <w:rFonts w:eastAsia="等线" w:ascii="Arial" w:cs="Arial" w:hAnsi="Arial"/>
          <w:b w:val="true"/>
          <w:sz w:val="32"/>
        </w:rPr>
        <w:t>四、碳足迹综合分析</w:t>
      </w:r>
      <w:bookmarkEnd w:id="10"/>
    </w:p>
    <w:p>
      <w:pPr>
        <w:pStyle w:val="3"/>
        <w:spacing w:before="300" w:after="120" w:line="288" w:lineRule="auto"/>
        <w:ind w:left="0"/>
        <w:jc w:val="left"/>
        <w:outlineLvl w:val="2"/>
      </w:pPr>
      <w:bookmarkStart w:name="heading_11" w:id="11"/>
      <w:r>
        <w:rPr>
          <w:rFonts w:eastAsia="等线" w:ascii="Arial" w:cs="Arial" w:hAnsi="Arial"/>
          <w:b w:val="true"/>
          <w:sz w:val="30"/>
        </w:rPr>
        <w:t>4.1 总排放量统计</w:t>
      </w:r>
      <w:bookmarkEnd w:id="11"/>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2760"/>
        <w:gridCol w:w="2760"/>
        <w:gridCol w:w="2760"/>
      </w:tblGrid>
      <w:tr>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阶段</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碳排放量 (tCO₂)</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占比</w:t>
            </w:r>
          </w:p>
        </w:tc>
      </w:tr>
      <w:tr>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建材生产阶段</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805.5</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82.1%</w:t>
            </w:r>
          </w:p>
        </w:tc>
      </w:tr>
      <w:tr>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建材运输阶段</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17.5</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1.8%</w:t>
            </w:r>
          </w:p>
        </w:tc>
      </w:tr>
      <w:tr>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b w:val="true"/>
                <w:sz w:val="22"/>
              </w:rPr>
              <w:t>合计</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b w:val="true"/>
                <w:sz w:val="22"/>
              </w:rPr>
              <w:t>823.0</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b w:val="true"/>
                <w:sz w:val="22"/>
              </w:rPr>
              <w:t>100%</w:t>
            </w:r>
          </w:p>
        </w:tc>
      </w:tr>
    </w:tbl>
    <w:p>
      <w:pPr>
        <w:pStyle w:val="3"/>
        <w:spacing w:before="300" w:after="120" w:line="288" w:lineRule="auto"/>
        <w:ind w:left="0"/>
        <w:jc w:val="left"/>
        <w:outlineLvl w:val="2"/>
      </w:pPr>
      <w:bookmarkStart w:name="heading_12" w:id="12"/>
      <w:r>
        <w:rPr>
          <w:rFonts w:eastAsia="等线" w:ascii="Arial" w:cs="Arial" w:hAnsi="Arial"/>
          <w:b w:val="true"/>
          <w:sz w:val="30"/>
        </w:rPr>
        <w:t>4.2 单位面积碳排放强度</w:t>
      </w:r>
      <w:bookmarkEnd w:id="12"/>
    </w:p>
    <w:p>
      <w:pPr>
        <w:spacing w:before="120" w:after="120" w:line="288" w:lineRule="auto"/>
        <w:ind w:left="0"/>
        <w:jc w:val="left"/>
      </w:pPr>
      <w:r>
        <w:rPr>
          <w:rFonts w:eastAsia="等线" w:ascii="Arial" w:cs="Arial" w:hAnsi="Arial"/>
          <w:sz w:val="22"/>
        </w:rPr>
        <w:t>项目总建筑面积</w:t>
      </w:r>
      <w:r>
        <w:rPr>
          <w:rFonts w:eastAsia="等线" w:ascii="Arial" w:cs="Arial" w:hAnsi="Arial"/>
          <w:sz w:val="22"/>
        </w:rPr>
        <w:t>6899</w:t>
      </w:r>
      <w:r>
        <w:rPr>
          <w:rFonts w:eastAsia="等线" w:ascii="Arial" w:cs="Arial" w:hAnsi="Arial"/>
          <w:sz w:val="22"/>
        </w:rPr>
        <w:t>㎡，总碳排放量823.0 tCO₂。</w:t>
      </w:r>
    </w:p>
    <w:p>
      <w:pPr>
        <w:spacing w:before="120" w:after="120" w:line="288" w:lineRule="auto"/>
        <w:ind w:left="0"/>
        <w:jc w:val="left"/>
      </w:pPr>
      <w:r>
        <w:rPr>
          <w:rFonts w:eastAsia="等线" w:ascii="Arial" w:cs="Arial" w:hAnsi="Arial"/>
          <w:sz w:val="22"/>
        </w:rPr>
        <w:t>[</w:t>
      </w:r>
    </w:p>
    <w:p>
      <w:pPr>
        <w:spacing w:before="120" w:after="120" w:line="288" w:lineRule="auto"/>
        <w:ind w:left="0"/>
        <w:jc w:val="left"/>
      </w:pPr>
      <w:r>
        <w:rPr>
          <w:rFonts w:eastAsia="等线" w:ascii="Arial" w:cs="Arial" w:hAnsi="Arial"/>
          <w:sz w:val="22"/>
        </w:rPr>
        <w:t>\text{单位面积碳排放量} = \frac{823.0}{</w:t>
      </w:r>
      <w:r>
        <w:rPr>
          <w:rFonts w:eastAsia="等线" w:ascii="Arial" w:cs="Arial" w:hAnsi="Arial"/>
          <w:sz w:val="22"/>
        </w:rPr>
        <w:t>6899</w:t>
      </w:r>
      <w:r>
        <w:rPr>
          <w:rFonts w:eastAsia="等线" w:ascii="Arial" w:cs="Arial" w:hAnsi="Arial"/>
          <w:sz w:val="22"/>
        </w:rPr>
        <w:t>} \approx \mathbf{</w:t>
      </w:r>
      <w:r>
        <w:rPr>
          <w:rFonts w:eastAsia="等线" w:ascii="Arial" w:cs="Arial" w:hAnsi="Arial"/>
          <w:sz w:val="22"/>
        </w:rPr>
        <w:t>0.12</w:t>
      </w:r>
      <w:r>
        <w:rPr>
          <w:rFonts w:eastAsia="等线" w:ascii="Arial" w:cs="Arial" w:hAnsi="Arial"/>
          <w:sz w:val="22"/>
        </w:rPr>
        <w:t xml:space="preserve"> , tCO_2/㎡}</w:t>
      </w:r>
    </w:p>
    <w:p>
      <w:pPr>
        <w:spacing w:before="120" w:after="120" w:line="288" w:lineRule="auto"/>
        <w:ind w:left="0"/>
        <w:jc w:val="left"/>
      </w:pPr>
      <w:r>
        <w:rPr>
          <w:rFonts w:eastAsia="等线" w:ascii="Arial" w:cs="Arial" w:hAnsi="Arial"/>
          <w:sz w:val="22"/>
        </w:rPr>
        <w:t>]</w:t>
      </w:r>
    </w:p>
    <w:p>
      <w:pPr>
        <w:pStyle w:val="3"/>
        <w:spacing w:before="300" w:after="120" w:line="288" w:lineRule="auto"/>
        <w:ind w:left="0"/>
        <w:jc w:val="left"/>
        <w:outlineLvl w:val="2"/>
      </w:pPr>
      <w:bookmarkStart w:name="heading_13" w:id="13"/>
      <w:r>
        <w:rPr>
          <w:rFonts w:eastAsia="等线" w:ascii="Arial" w:cs="Arial" w:hAnsi="Arial"/>
          <w:b w:val="true"/>
          <w:sz w:val="30"/>
        </w:rPr>
        <w:t>4.3 低碳设计策略与减排分析</w:t>
      </w:r>
      <w:bookmarkEnd w:id="13"/>
    </w:p>
    <w:p>
      <w:pPr>
        <w:spacing w:before="120" w:after="120" w:line="288" w:lineRule="auto"/>
        <w:ind w:left="0"/>
        <w:jc w:val="left"/>
      </w:pPr>
      <w:r>
        <w:rPr>
          <w:rFonts w:eastAsia="等线" w:ascii="Arial" w:cs="Arial" w:hAnsi="Arial"/>
          <w:sz w:val="22"/>
        </w:rPr>
        <w:t>本项目通过以下低碳措施实现减排效果，对比常规同类型建筑（约1.35 tCO₂/㎡），单位面积碳排放降低约</w:t>
      </w:r>
      <w:r>
        <w:rPr>
          <w:rFonts w:eastAsia="等线" w:ascii="Arial" w:cs="Arial" w:hAnsi="Arial"/>
          <w:b w:val="true"/>
          <w:sz w:val="22"/>
        </w:rPr>
        <w:t>91</w:t>
      </w:r>
      <w:r>
        <w:rPr>
          <w:rFonts w:eastAsia="等线" w:ascii="Arial" w:cs="Arial" w:hAnsi="Arial"/>
          <w:b w:val="true"/>
          <w:sz w:val="22"/>
        </w:rPr>
        <w:t>%</w:t>
      </w:r>
      <w:r>
        <w:rPr>
          <w:rFonts w:eastAsia="等线" w:ascii="Arial" w:cs="Arial" w:hAnsi="Arial"/>
          <w:sz w:val="22"/>
        </w:rPr>
        <w:t>。</w:t>
      </w:r>
    </w:p>
    <w:p>
      <w:pPr>
        <w:numPr>
          <w:numId w:val="3"/>
        </w:numPr>
        <w:spacing w:before="120" w:after="120" w:line="288" w:lineRule="auto"/>
        <w:ind w:left="0"/>
        <w:jc w:val="left"/>
      </w:pPr>
      <w:r>
        <w:rPr>
          <w:rFonts w:eastAsia="等线" w:ascii="Arial" w:cs="Arial" w:hAnsi="Arial"/>
          <w:b w:val="true"/>
          <w:sz w:val="22"/>
        </w:rPr>
        <w:t>结构优化</w:t>
      </w:r>
      <w:r>
        <w:rPr>
          <w:rFonts w:eastAsia="等线" w:ascii="Arial" w:cs="Arial" w:hAnsi="Arial"/>
          <w:sz w:val="22"/>
        </w:rPr>
        <w:t>：采用框架结构优化梁柱尺寸，减少钢筋与混凝土用量，降低结构材料碳排放。</w:t>
      </w:r>
    </w:p>
    <w:p>
      <w:pPr>
        <w:numPr>
          <w:numId w:val="4"/>
        </w:numPr>
        <w:spacing w:before="120" w:after="120" w:line="288" w:lineRule="auto"/>
        <w:ind w:left="0"/>
        <w:jc w:val="left"/>
      </w:pPr>
      <w:r>
        <w:rPr>
          <w:rFonts w:eastAsia="等线" w:ascii="Arial" w:cs="Arial" w:hAnsi="Arial"/>
          <w:b w:val="true"/>
          <w:sz w:val="22"/>
        </w:rPr>
        <w:t>围护节能</w:t>
      </w:r>
      <w:r>
        <w:rPr>
          <w:rFonts w:eastAsia="等线" w:ascii="Arial" w:cs="Arial" w:hAnsi="Arial"/>
          <w:sz w:val="22"/>
        </w:rPr>
        <w:t>：选用Low-E中空断桥铝窗及高效保温层，提升围护热工性能，减少后续运行能耗对应的间接碳排放。</w:t>
      </w:r>
    </w:p>
    <w:p>
      <w:pPr>
        <w:numPr>
          <w:numId w:val="5"/>
        </w:numPr>
        <w:spacing w:before="120" w:after="120" w:line="288" w:lineRule="auto"/>
        <w:ind w:left="0"/>
        <w:jc w:val="left"/>
      </w:pPr>
      <w:r>
        <w:rPr>
          <w:rFonts w:eastAsia="等线" w:ascii="Arial" w:cs="Arial" w:hAnsi="Arial"/>
          <w:b w:val="true"/>
          <w:sz w:val="22"/>
        </w:rPr>
        <w:t>绿色建材</w:t>
      </w:r>
      <w:r>
        <w:rPr>
          <w:rFonts w:eastAsia="等线" w:ascii="Arial" w:cs="Arial" w:hAnsi="Arial"/>
          <w:sz w:val="22"/>
        </w:rPr>
        <w:t>：优先选用本地生产的建材（如本地真石漆、再生砖），缩短运输距离，降低运输碳排放。</w:t>
      </w:r>
    </w:p>
    <w:p>
      <w:pPr>
        <w:numPr>
          <w:numId w:val="6"/>
        </w:numPr>
        <w:spacing w:before="120" w:after="120" w:line="288" w:lineRule="auto"/>
        <w:ind w:left="0"/>
        <w:jc w:val="left"/>
      </w:pPr>
      <w:r>
        <w:rPr>
          <w:rFonts w:eastAsia="等线" w:ascii="Arial" w:cs="Arial" w:hAnsi="Arial"/>
          <w:b w:val="true"/>
          <w:sz w:val="22"/>
        </w:rPr>
        <w:t>循环利用</w:t>
      </w:r>
      <w:r>
        <w:rPr>
          <w:rFonts w:eastAsia="等线" w:ascii="Arial" w:cs="Arial" w:hAnsi="Arial"/>
          <w:sz w:val="22"/>
        </w:rPr>
        <w:t>：对旧建筑拆解的部分可回收木材、石材进行资源化利用，替代部分新材，减少新材料需求。</w:t>
      </w:r>
    </w:p>
    <w:p>
      <w:pPr>
        <w:pBdr>
          <w:bottom w:val="single" w:color="dee0e3"/>
          <w:between w:val="single" w:color="dee0e3"/>
        </w:pBdr>
        <w:spacing w:before="120" w:after="120" w:line="288" w:lineRule="auto"/>
        <w:ind w:left="0"/>
      </w:pPr>
    </w:p>
    <w:p>
      <w:pPr>
        <w:pStyle w:val="2"/>
        <w:spacing w:before="320" w:after="120" w:line="288" w:lineRule="auto"/>
        <w:ind w:left="0"/>
        <w:jc w:val="left"/>
        <w:outlineLvl w:val="1"/>
      </w:pPr>
      <w:bookmarkStart w:name="heading_14" w:id="14"/>
      <w:r>
        <w:rPr>
          <w:rFonts w:eastAsia="等线" w:ascii="Arial" w:cs="Arial" w:hAnsi="Arial"/>
          <w:b w:val="true"/>
          <w:sz w:val="32"/>
        </w:rPr>
        <w:t>五、结论与建议</w:t>
      </w:r>
      <w:bookmarkEnd w:id="14"/>
    </w:p>
    <w:p>
      <w:pPr>
        <w:pStyle w:val="3"/>
        <w:spacing w:before="300" w:after="120" w:line="288" w:lineRule="auto"/>
        <w:ind w:left="0"/>
        <w:jc w:val="left"/>
        <w:outlineLvl w:val="2"/>
      </w:pPr>
      <w:bookmarkStart w:name="heading_15" w:id="15"/>
      <w:r>
        <w:rPr>
          <w:rFonts w:eastAsia="等线" w:ascii="Arial" w:cs="Arial" w:hAnsi="Arial"/>
          <w:b w:val="true"/>
          <w:sz w:val="30"/>
        </w:rPr>
        <w:t>5.1 结论</w:t>
      </w:r>
      <w:bookmarkEnd w:id="15"/>
    </w:p>
    <w:p>
      <w:pPr>
        <w:spacing w:before="120" w:after="120" w:line="288" w:lineRule="auto"/>
        <w:ind w:left="0"/>
        <w:jc w:val="left"/>
      </w:pPr>
      <w:r>
        <w:rPr>
          <w:rFonts w:eastAsia="等线" w:ascii="Arial" w:cs="Arial" w:hAnsi="Arial"/>
          <w:sz w:val="22"/>
        </w:rPr>
        <w:t>本项目通过采用低碳建材选型与绿色设计策略，实现了全生命周期碳排放的有效控制。</w:t>
      </w:r>
    </w:p>
    <w:p>
      <w:pPr>
        <w:numPr>
          <w:numId w:val="7"/>
        </w:numPr>
        <w:spacing w:before="120" w:after="120" w:line="288" w:lineRule="auto"/>
        <w:ind w:left="0"/>
        <w:jc w:val="left"/>
      </w:pPr>
      <w:r>
        <w:rPr>
          <w:rFonts w:eastAsia="等线" w:ascii="Arial" w:cs="Arial" w:hAnsi="Arial"/>
          <w:sz w:val="22"/>
        </w:rPr>
        <w:t>项目建材生产及运输阶段总碳排放量为</w:t>
      </w:r>
      <w:r>
        <w:rPr>
          <w:rFonts w:eastAsia="等线" w:ascii="Arial" w:cs="Arial" w:hAnsi="Arial"/>
          <w:b w:val="true"/>
          <w:sz w:val="22"/>
        </w:rPr>
        <w:t>823.0 tCO₂</w:t>
      </w:r>
      <w:r>
        <w:rPr>
          <w:rFonts w:eastAsia="等线" w:ascii="Arial" w:cs="Arial" w:hAnsi="Arial"/>
          <w:sz w:val="22"/>
        </w:rPr>
        <w:t>。</w:t>
      </w:r>
    </w:p>
    <w:p>
      <w:pPr>
        <w:numPr>
          <w:numId w:val="8"/>
        </w:numPr>
        <w:spacing w:before="120" w:after="120" w:line="288" w:lineRule="auto"/>
        <w:ind w:left="0"/>
        <w:jc w:val="left"/>
      </w:pPr>
      <w:r>
        <w:rPr>
          <w:rFonts w:eastAsia="等线" w:ascii="Arial" w:cs="Arial" w:hAnsi="Arial"/>
          <w:sz w:val="22"/>
        </w:rPr>
        <w:t>单位面积碳排放强度为</w:t>
      </w:r>
      <w:r>
        <w:rPr>
          <w:rFonts w:eastAsia="等线" w:ascii="Arial" w:cs="Arial" w:hAnsi="Arial"/>
          <w:b w:val="true"/>
          <w:sz w:val="22"/>
        </w:rPr>
        <w:t>0.12 tCO₂/㎡</w:t>
      </w:r>
      <w:r>
        <w:rPr>
          <w:rFonts w:eastAsia="等线" w:ascii="Arial" w:cs="Arial" w:hAnsi="Arial"/>
          <w:sz w:val="22"/>
        </w:rPr>
        <w:t>，远低于行业平均水平，满足绿色建筑评价标准中关于</w:t>
      </w:r>
      <w:r>
        <w:rPr>
          <w:rFonts w:eastAsia="等线" w:ascii="Arial" w:cs="Arial" w:hAnsi="Arial"/>
          <w:b w:val="true"/>
          <w:sz w:val="22"/>
        </w:rPr>
        <w:t>低碳建材</w:t>
      </w:r>
      <w:r>
        <w:rPr>
          <w:rFonts w:eastAsia="等线" w:ascii="Arial" w:cs="Arial" w:hAnsi="Arial"/>
          <w:sz w:val="22"/>
        </w:rPr>
        <w:t>与</w:t>
      </w:r>
      <w:r>
        <w:rPr>
          <w:rFonts w:eastAsia="等线" w:ascii="Arial" w:cs="Arial" w:hAnsi="Arial"/>
          <w:b w:val="true"/>
          <w:sz w:val="22"/>
        </w:rPr>
        <w:t>全生命周期碳排放</w:t>
      </w:r>
      <w:r>
        <w:rPr>
          <w:rFonts w:eastAsia="等线" w:ascii="Arial" w:cs="Arial" w:hAnsi="Arial"/>
          <w:sz w:val="22"/>
        </w:rPr>
        <w:t>的相关要求，具备申报绿色建筑星级评价的条件。</w:t>
      </w:r>
    </w:p>
    <w:p>
      <w:pPr>
        <w:pStyle w:val="3"/>
        <w:spacing w:before="300" w:after="120" w:line="288" w:lineRule="auto"/>
        <w:ind w:left="0"/>
        <w:jc w:val="left"/>
        <w:outlineLvl w:val="2"/>
      </w:pPr>
      <w:bookmarkStart w:name="heading_16" w:id="16"/>
      <w:r>
        <w:rPr>
          <w:rFonts w:eastAsia="等线" w:ascii="Arial" w:cs="Arial" w:hAnsi="Arial"/>
          <w:b w:val="true"/>
          <w:sz w:val="30"/>
        </w:rPr>
        <w:t>5.2 建议</w:t>
      </w:r>
      <w:bookmarkEnd w:id="16"/>
    </w:p>
    <w:p>
      <w:pPr>
        <w:numPr>
          <w:numId w:val="9"/>
        </w:numPr>
        <w:spacing w:before="120" w:after="120" w:line="288" w:lineRule="auto"/>
        <w:ind w:left="0"/>
        <w:jc w:val="left"/>
      </w:pPr>
      <w:r>
        <w:rPr>
          <w:rFonts w:eastAsia="等线" w:ascii="Arial" w:cs="Arial" w:hAnsi="Arial"/>
          <w:b w:val="true"/>
          <w:sz w:val="22"/>
        </w:rPr>
        <w:t>进一步优化材料配比</w:t>
      </w:r>
      <w:r>
        <w:rPr>
          <w:rFonts w:eastAsia="等线" w:ascii="Arial" w:cs="Arial" w:hAnsi="Arial"/>
          <w:sz w:val="22"/>
        </w:rPr>
        <w:t>：建议在结构设计中尝试采用高性能混凝土或钢结构替代部分传统钢筋混凝土，进一步降低建材碳排放。</w:t>
      </w:r>
    </w:p>
    <w:p>
      <w:pPr>
        <w:numPr>
          <w:numId w:val="10"/>
        </w:numPr>
        <w:spacing w:before="120" w:after="120" w:line="288" w:lineRule="auto"/>
        <w:ind w:left="0"/>
        <w:jc w:val="left"/>
      </w:pPr>
      <w:r>
        <w:rPr>
          <w:rFonts w:eastAsia="等线" w:ascii="Arial" w:cs="Arial" w:hAnsi="Arial"/>
          <w:b w:val="true"/>
          <w:sz w:val="22"/>
        </w:rPr>
        <w:t>增加可再生建材</w:t>
      </w:r>
      <w:r>
        <w:rPr>
          <w:rFonts w:eastAsia="等线" w:ascii="Arial" w:cs="Arial" w:hAnsi="Arial"/>
          <w:sz w:val="22"/>
        </w:rPr>
        <w:t>：提高再生骨料、再生钢材的使用比例，提升项目的循环经济属性。</w:t>
      </w:r>
    </w:p>
    <w:p>
      <w:pPr>
        <w:numPr>
          <w:numId w:val="11"/>
        </w:numPr>
        <w:spacing w:before="120" w:after="120" w:line="288" w:lineRule="auto"/>
        <w:ind w:left="0"/>
        <w:jc w:val="left"/>
      </w:pPr>
      <w:r>
        <w:rPr>
          <w:rFonts w:eastAsia="等线" w:ascii="Arial" w:cs="Arial" w:hAnsi="Arial"/>
          <w:b w:val="true"/>
          <w:sz w:val="22"/>
        </w:rPr>
        <w:t>光伏建材一体化</w:t>
      </w:r>
      <w:r>
        <w:rPr>
          <w:rFonts w:eastAsia="等线" w:ascii="Arial" w:cs="Arial" w:hAnsi="Arial"/>
          <w:sz w:val="22"/>
        </w:rPr>
        <w:t>：在屋面设计中预留光伏铺设面积，利用光伏发电抵消运营阶段的碳排放，实现净零碳目标。</w:t>
      </w:r>
    </w:p>
    <w:p>
      <w:pPr>
        <w:pBdr>
          <w:bottom w:val="single" w:color="dee0e3"/>
          <w:between w:val="single" w:color="dee0e3"/>
        </w:pBdr>
        <w:spacing w:before="120" w:after="120" w:line="288" w:lineRule="auto"/>
        <w:ind w:left="0"/>
      </w:pPr>
    </w:p>
    <w:p>
      <w:pPr>
        <w:pStyle w:val="2"/>
        <w:spacing w:before="320" w:after="120" w:line="288" w:lineRule="auto"/>
        <w:ind w:left="0"/>
        <w:jc w:val="left"/>
        <w:outlineLvl w:val="1"/>
      </w:pPr>
      <w:bookmarkStart w:name="heading_17" w:id="17"/>
      <w:r>
        <w:rPr>
          <w:rFonts w:eastAsia="等线" w:ascii="Arial" w:cs="Arial" w:hAnsi="Arial"/>
          <w:b w:val="true"/>
          <w:sz w:val="32"/>
        </w:rPr>
        <w:t>六、附件</w:t>
      </w:r>
      <w:bookmarkEnd w:id="17"/>
    </w:p>
    <w:p>
      <w:pPr>
        <w:numPr>
          <w:numId w:val="12"/>
        </w:numPr>
        <w:spacing w:before="120" w:after="120" w:line="288" w:lineRule="auto"/>
        <w:ind w:left="0"/>
        <w:jc w:val="left"/>
      </w:pPr>
      <w:r>
        <w:rPr>
          <w:rFonts w:eastAsia="等线" w:ascii="Arial" w:cs="Arial" w:hAnsi="Arial"/>
          <w:sz w:val="22"/>
        </w:rPr>
        <w:t>建材采购清单及出厂合格证</w:t>
      </w:r>
    </w:p>
    <w:p>
      <w:pPr>
        <w:numPr>
          <w:numId w:val="13"/>
        </w:numPr>
        <w:spacing w:before="120" w:after="120" w:line="288" w:lineRule="auto"/>
        <w:ind w:left="0"/>
        <w:jc w:val="left"/>
      </w:pPr>
      <w:r>
        <w:rPr>
          <w:rFonts w:eastAsia="等线" w:ascii="Arial" w:cs="Arial" w:hAnsi="Arial"/>
          <w:sz w:val="22"/>
        </w:rPr>
        <w:t>碳排因子来源依据表（GB/T 51366-2019附录）</w:t>
      </w:r>
    </w:p>
    <w:p>
      <w:pPr>
        <w:numPr>
          <w:numId w:val="14"/>
        </w:numPr>
        <w:spacing w:before="120" w:after="120" w:line="288" w:lineRule="auto"/>
        <w:ind w:left="0"/>
        <w:jc w:val="left"/>
      </w:pPr>
      <w:r>
        <w:rPr>
          <w:rFonts w:eastAsia="等线" w:ascii="Arial" w:cs="Arial" w:hAnsi="Arial"/>
          <w:sz w:val="22"/>
        </w:rPr>
        <w:t>材料运输距离及方式核算表</w:t>
      </w:r>
    </w:p>
    <w:p>
      <w:pPr>
        <w:numPr>
          <w:numId w:val="15"/>
        </w:numPr>
        <w:spacing w:before="120" w:after="120" w:line="288" w:lineRule="auto"/>
        <w:ind w:left="0"/>
        <w:jc w:val="left"/>
      </w:pPr>
      <w:r>
        <w:rPr>
          <w:rFonts w:eastAsia="等线" w:ascii="Arial" w:cs="Arial" w:hAnsi="Arial"/>
          <w:sz w:val="22"/>
        </w:rPr>
        <w:t>碳排放计算原始底稿</w:t>
      </w:r>
    </w:p>
    <w:p>
      <w:pPr>
        <w:spacing w:before="120" w:after="120" w:line="288" w:lineRule="auto"/>
        <w:ind w:left="0"/>
        <w:jc w:val="left"/>
      </w:pPr>
      <w:r>
        <w:rPr>
          <w:rFonts w:eastAsia="等线" w:ascii="Arial" w:cs="Arial" w:hAnsi="Arial"/>
          <w:b w:val="true"/>
          <w:sz w:val="22"/>
        </w:rPr>
        <w:t>编制单位（盖章）</w:t>
      </w:r>
      <w:r>
        <w:rPr>
          <w:rFonts w:eastAsia="等线" w:ascii="Arial" w:cs="Arial" w:hAnsi="Arial"/>
          <w:sz w:val="22"/>
        </w:rPr>
        <w:t>：安徽建筑大学 建筑与规划学院</w:t>
      </w:r>
    </w:p>
    <w:p>
      <w:pPr>
        <w:spacing w:before="120" w:after="120" w:line="288" w:lineRule="auto"/>
        <w:ind w:left="0"/>
        <w:jc w:val="left"/>
      </w:pPr>
      <w:r>
        <w:rPr>
          <w:rFonts w:eastAsia="等线" w:ascii="Arial" w:cs="Arial" w:hAnsi="Arial"/>
          <w:b w:val="true"/>
          <w:sz w:val="22"/>
        </w:rPr>
        <w:t>日期</w:t>
      </w:r>
      <w:r>
        <w:rPr>
          <w:rFonts w:eastAsia="等线" w:ascii="Arial" w:cs="Arial" w:hAnsi="Arial"/>
          <w:sz w:val="22"/>
        </w:rPr>
        <w:t>：2026年3月22日</w:t>
      </w:r>
    </w:p>
    <w:p>
      <w:pPr>
        <w:spacing w:before="120" w:after="120" w:line="288" w:lineRule="auto"/>
        <w:ind w:left="0"/>
        <w:jc w:val="left"/>
      </w:pPr>
      <w:r>
        <w:rPr>
          <w:rFonts w:eastAsia="等线" w:ascii="Arial" w:cs="Arial" w:hAnsi="Arial"/>
          <w:sz w:val="22"/>
        </w:rPr>
        <w:t>|（注：文档部分内容可能由 AI 生成)</w:t>
      </w:r>
    </w:p>
    <w:sectPr>
      <w:footerReference w:type="default" r:id="rId3"/>
      <w:headerReference w:type="default" r:id="rId5"/>
      <w:pgSz w:orient="portrait" w:h="16840" w:w="11905"/>
    </w:sectPr>
  </w:body>
</w:document>
</file>

<file path=word/footer1.xml><?xml version="1.0" encoding="utf-8"?>
<w:ftr xmlns:w="http://schemas.openxmlformats.org/wordprocessingml/2006/main">
  <w:p/>
</w:ftr>
</file>

<file path=word/header1.xml><?xml version="1.0" encoding="utf-8"?>
<w:hdr xmlns:w="http://schemas.openxmlformats.org/wordprocessingml/2006/main">
  <w:p/>
</w:hdr>
</file>

<file path=word/numbering.xml><?xml version="1.0" encoding="utf-8"?>
<w:numbering xmlns:w="http://schemas.openxmlformats.org/wordprocessingml/2006/main">
  <w:abstractNum w:abstractNumId="8380628">
    <w:lvl>
      <w:numFmt w:val="bullet"/>
      <w:suff w:val="tab"/>
      <w:lvlText w:val="•"/>
      <w:rPr>
        <w:color w:val="3370ff"/>
      </w:rPr>
    </w:lvl>
  </w:abstractNum>
  <w:abstractNum w:abstractNumId="8380629">
    <w:lvl>
      <w:numFmt w:val="bullet"/>
      <w:suff w:val="tab"/>
      <w:lvlText w:val="•"/>
      <w:rPr>
        <w:color w:val="3370ff"/>
      </w:rPr>
    </w:lvl>
  </w:abstractNum>
  <w:abstractNum w:abstractNumId="8380630">
    <w:lvl>
      <w:start w:val="1"/>
      <w:numFmt w:val="decimal"/>
      <w:suff w:val="tab"/>
      <w:lvlText w:val="%1."/>
      <w:rPr>
        <w:color w:val="3370ff"/>
      </w:rPr>
    </w:lvl>
  </w:abstractNum>
  <w:abstractNum w:abstractNumId="8380631">
    <w:lvl>
      <w:start w:val="2"/>
      <w:numFmt w:val="decimal"/>
      <w:suff w:val="tab"/>
      <w:lvlText w:val="%1."/>
      <w:rPr>
        <w:color w:val="3370ff"/>
      </w:rPr>
    </w:lvl>
  </w:abstractNum>
  <w:abstractNum w:abstractNumId="8380632">
    <w:lvl>
      <w:start w:val="3"/>
      <w:numFmt w:val="decimal"/>
      <w:suff w:val="tab"/>
      <w:lvlText w:val="%1."/>
      <w:rPr>
        <w:color w:val="3370ff"/>
      </w:rPr>
    </w:lvl>
  </w:abstractNum>
  <w:abstractNum w:abstractNumId="8380633">
    <w:lvl>
      <w:start w:val="4"/>
      <w:numFmt w:val="decimal"/>
      <w:suff w:val="tab"/>
      <w:lvlText w:val="%1."/>
      <w:rPr>
        <w:color w:val="3370ff"/>
      </w:rPr>
    </w:lvl>
  </w:abstractNum>
  <w:abstractNum w:abstractNumId="8380634">
    <w:lvl>
      <w:numFmt w:val="bullet"/>
      <w:suff w:val="tab"/>
      <w:lvlText w:val="•"/>
      <w:rPr>
        <w:color w:val="3370ff"/>
      </w:rPr>
    </w:lvl>
  </w:abstractNum>
  <w:abstractNum w:abstractNumId="8380635">
    <w:lvl>
      <w:numFmt w:val="bullet"/>
      <w:suff w:val="tab"/>
      <w:lvlText w:val="•"/>
      <w:rPr>
        <w:color w:val="3370ff"/>
      </w:rPr>
    </w:lvl>
  </w:abstractNum>
  <w:abstractNum w:abstractNumId="8380636">
    <w:lvl>
      <w:start w:val="1"/>
      <w:numFmt w:val="decimal"/>
      <w:suff w:val="tab"/>
      <w:lvlText w:val="%1."/>
      <w:rPr>
        <w:color w:val="3370ff"/>
      </w:rPr>
    </w:lvl>
  </w:abstractNum>
  <w:abstractNum w:abstractNumId="8380637">
    <w:lvl>
      <w:start w:val="2"/>
      <w:numFmt w:val="decimal"/>
      <w:suff w:val="tab"/>
      <w:lvlText w:val="%1."/>
      <w:rPr>
        <w:color w:val="3370ff"/>
      </w:rPr>
    </w:lvl>
  </w:abstractNum>
  <w:abstractNum w:abstractNumId="8380638">
    <w:lvl>
      <w:start w:val="3"/>
      <w:numFmt w:val="decimal"/>
      <w:suff w:val="tab"/>
      <w:lvlText w:val="%1."/>
      <w:rPr>
        <w:color w:val="3370ff"/>
      </w:rPr>
    </w:lvl>
  </w:abstractNum>
  <w:abstractNum w:abstractNumId="8380639">
    <w:lvl>
      <w:start w:val="1"/>
      <w:numFmt w:val="decimal"/>
      <w:suff w:val="tab"/>
      <w:lvlText w:val="%1."/>
      <w:rPr>
        <w:color w:val="3370ff"/>
      </w:rPr>
    </w:lvl>
  </w:abstractNum>
  <w:abstractNum w:abstractNumId="8380640">
    <w:lvl>
      <w:start w:val="2"/>
      <w:numFmt w:val="decimal"/>
      <w:suff w:val="tab"/>
      <w:lvlText w:val="%1."/>
      <w:rPr>
        <w:color w:val="3370ff"/>
      </w:rPr>
    </w:lvl>
  </w:abstractNum>
  <w:abstractNum w:abstractNumId="8380641">
    <w:lvl>
      <w:start w:val="3"/>
      <w:numFmt w:val="decimal"/>
      <w:suff w:val="tab"/>
      <w:lvlText w:val="%1."/>
      <w:rPr>
        <w:color w:val="3370ff"/>
      </w:rPr>
    </w:lvl>
  </w:abstractNum>
  <w:abstractNum w:abstractNumId="8380642">
    <w:lvl>
      <w:start w:val="4"/>
      <w:numFmt w:val="decimal"/>
      <w:suff w:val="tab"/>
      <w:lvlText w:val="%1."/>
      <w:rPr>
        <w:color w:val="3370ff"/>
      </w:rPr>
    </w:lvl>
  </w:abstractNum>
  <w:num w:numId="1">
    <w:abstractNumId w:val="8380628"/>
  </w:num>
  <w:num w:numId="2">
    <w:abstractNumId w:val="8380629"/>
  </w:num>
  <w:num w:numId="3">
    <w:abstractNumId w:val="8380630"/>
  </w:num>
  <w:num w:numId="4">
    <w:abstractNumId w:val="8380631"/>
  </w:num>
  <w:num w:numId="5">
    <w:abstractNumId w:val="8380632"/>
  </w:num>
  <w:num w:numId="6">
    <w:abstractNumId w:val="8380633"/>
  </w:num>
  <w:num w:numId="7">
    <w:abstractNumId w:val="8380634"/>
  </w:num>
  <w:num w:numId="8">
    <w:abstractNumId w:val="8380635"/>
  </w:num>
  <w:num w:numId="9">
    <w:abstractNumId w:val="8380636"/>
  </w:num>
  <w:num w:numId="10">
    <w:abstractNumId w:val="8380637"/>
  </w:num>
  <w:num w:numId="11">
    <w:abstractNumId w:val="8380638"/>
  </w:num>
  <w:num w:numId="12">
    <w:abstractNumId w:val="8380639"/>
  </w:num>
  <w:num w:numId="13">
    <w:abstractNumId w:val="8380640"/>
  </w:num>
  <w:num w:numId="14">
    <w:abstractNumId w:val="8380641"/>
  </w:num>
  <w:num w:numId="15">
    <w:abstractNumId w:val="8380642"/>
  </w:num>
</w:numbering>
</file>

<file path=word/settings.xml><?xml version="1.0" encoding="utf-8"?>
<w:settings xmlns:w="http://schemas.openxmlformats.org/wordprocessingml/2006/main"/>
</file>

<file path=word/styles.xml><?xml version="1.0" encoding="utf-8"?>
<w:styles xmlns:w="http://schemas.openxmlformats.org/wordprocessingml/2006/main"/>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styles.xml" Type="http://schemas.openxmlformats.org/officeDocument/2006/relationships/styles"/><Relationship Id="rId3" Target="footer1.xml" Type="http://schemas.openxmlformats.org/officeDocument/2006/relationships/footer"/><Relationship Id="rId4" Target="numbering.xml" Type="http://schemas.openxmlformats.org/officeDocument/2006/relationships/numbering"/><Relationship Id="rId5" Target="header1.xml" Type="http://schemas.openxmlformats.org/officeDocument/2006/relationships/header"/></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2026-03-22T08:59:39Z</dcterms:created>
  <dc:creator>Apache POI</dc:creator>
</cp:coreProperties>
</file>