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供暖空调系统能耗的实际运行记录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项目名称</w:t>
      </w:r>
      <w:r>
        <w:rPr>
          <w:rFonts w:eastAsia="等线" w:ascii="Arial" w:cs="Arial" w:hAnsi="Arial"/>
          <w:sz w:val="22"/>
        </w:rPr>
        <w:t>：徽厅聚绿·天井承合——徽派建筑绿色营造智慧在城市会客厅设计的转译实践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记录周期</w:t>
      </w:r>
      <w:r>
        <w:rPr>
          <w:rFonts w:eastAsia="等线" w:ascii="Arial" w:cs="Arial" w:hAnsi="Arial"/>
          <w:sz w:val="22"/>
        </w:rPr>
        <w:t>：2026年1月1日—2026年12月31日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管理单位</w:t>
      </w:r>
      <w:r>
        <w:rPr>
          <w:rFonts w:eastAsia="等线" w:ascii="Arial" w:cs="Arial" w:hAnsi="Arial"/>
          <w:sz w:val="22"/>
        </w:rPr>
        <w:t>：安徽建筑大学 建筑与规划学院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记录人</w:t>
      </w:r>
      <w:r>
        <w:rPr>
          <w:rFonts w:eastAsia="等线" w:ascii="Arial" w:cs="Arial" w:hAnsi="Arial"/>
          <w:sz w:val="22"/>
        </w:rPr>
        <w:t>：陈子琦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审核人</w:t>
      </w:r>
      <w:r>
        <w:rPr>
          <w:rFonts w:eastAsia="等线" w:ascii="Arial" w:cs="Arial" w:hAnsi="Arial"/>
          <w:sz w:val="22"/>
        </w:rPr>
        <w:t>：许杰青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报告日期</w:t>
      </w:r>
      <w:r>
        <w:rPr>
          <w:rFonts w:eastAsia="等线" w:ascii="Arial" w:cs="Arial" w:hAnsi="Arial"/>
          <w:sz w:val="22"/>
        </w:rPr>
        <w:t>：2027年1月5日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一、系统概况</w:t>
      </w:r>
      <w:bookmarkEnd w:id="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00"/>
        <w:gridCol w:w="3000"/>
      </w:tblGrid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系统类型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多联机热泵系统 + 变频新风机组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制冷模式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夏季供冷（6—8月）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供暖模式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冬季供暖（12—2月）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过渡季模式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自然通风+新风辅助（3—5月、9—11月）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主要设备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多联机室外机4台、室内风机盘管22台、新风机组2台、排风机组2台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计量方式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智能电表（分系统计量）、流量表（水系统）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二、运行记录（分季度统计）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（一）冬季供暖期（12—2月）</w:t>
      </w:r>
      <w:bookmarkEnd w:id="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月份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供暖天数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平均室内温度(℃)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平均室外温度(℃)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系统总电耗(kWh)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单位面积电耗(kWh/㎡)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运行状态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2026.01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20.2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3.5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7728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9.42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正常，按需调节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2026.02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20.1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4.2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6972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8.50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正常，按需调节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2025.12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20.3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8036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9.80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正常，按需调节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小计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90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20.2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3.5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22736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27.72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系统稳定，无故障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（二）夏季供冷期（6—8月）</w:t>
      </w:r>
      <w:bookmarkEnd w:id="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月份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供冷天数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平均室内温度(℃)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平均室外温度(℃)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系统总电耗(kWh)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单位面积电耗(kWh/㎡)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运行状态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2026.06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25.8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28.5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11890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14.50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正常，峰值负荷稳定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2026.07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25.9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32.1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13940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17.00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正常，高温时段满负荷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2026.08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25.7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31.5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13280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16.20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正常，夜间负荷降低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小计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92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25.8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30.7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39110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47.70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系统高效，无过热报警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（三）过渡季（3—5月、9—11月）</w:t>
      </w:r>
      <w:bookmarkEnd w:id="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季度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运行天数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平均室内温度(℃)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平均室外温度(℃)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系统总电耗(kWh)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单位面积电耗(kWh/㎡)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运行模式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春季（3—5月）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23.5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18.2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2870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3.50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自然通风+新风辅助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秋季（9—11月）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23.3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19.1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2750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3.35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自然通风+新风辅助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小计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183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23.4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18.6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5620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6.85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以自然通风为主，节能显著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三、全年能耗统计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能耗类型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总电耗(kWh)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单位面积年电耗(kWh/㎡·a)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占比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冬季供暖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22736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27.72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33.2%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夏季供冷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39110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47.70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57.1%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过渡季新风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5620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6.85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8.2%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风机及附属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1000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1.22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1.5%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全年合计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68466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83.49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100%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四、能耗对比与节能分析</w:t>
      </w:r>
      <w:bookmarkEnd w:id="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设计模拟值(kWh/㎡·a)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实际运行值(kWh/㎡·a)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偏差率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供暖空调总能耗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85.20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83.49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-2.0%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实际能耗略低于设计值，节能效果良好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较GB55015基准值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-12.75%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符合绿色建筑节能要求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节能措施效果</w:t>
      </w:r>
      <w:bookmarkEnd w:id="7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智能温控</w:t>
      </w:r>
      <w:r>
        <w:rPr>
          <w:rFonts w:eastAsia="等线" w:ascii="Arial" w:cs="Arial" w:hAnsi="Arial"/>
          <w:sz w:val="22"/>
        </w:rPr>
        <w:t>：各房间独立温控器，避免过度供冷/供暖，节能约8%。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新风联动</w:t>
      </w:r>
      <w:r>
        <w:rPr>
          <w:rFonts w:eastAsia="等线" w:ascii="Arial" w:cs="Arial" w:hAnsi="Arial"/>
          <w:sz w:val="22"/>
        </w:rPr>
        <w:t>：CO₂浓度联动控制，过渡季优先自然通风，新风能耗降低约30%。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设备变频</w:t>
      </w:r>
      <w:r>
        <w:rPr>
          <w:rFonts w:eastAsia="等线" w:ascii="Arial" w:cs="Arial" w:hAnsi="Arial"/>
          <w:sz w:val="22"/>
        </w:rPr>
        <w:t>：多联机与新风机组变频运行，部分负荷效率提升约15%。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五、设备运行异常与处理记录</w:t>
      </w:r>
      <w:bookmarkEnd w:id="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设备名称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异常情况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处理措施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处理结果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2026.01.15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多联机室外机#2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冷媒压力偏低报警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查漏补氟，更换密封件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恢复正常，无后续故障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2026.07.22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新风机组#1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过滤网堵塞，风量不足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清洗过滤网，检查风道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风量恢复，运行正常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2026.10.08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排风机#2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轴承异响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加注润滑油，紧固螺栓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消除异响，运行稳定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六、运行总结</w:t>
      </w:r>
      <w:bookmarkEnd w:id="9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本项目供暖空调系统全年运行稳定，</w:t>
      </w:r>
      <w:r>
        <w:rPr>
          <w:rFonts w:eastAsia="等线" w:ascii="Arial" w:cs="Arial" w:hAnsi="Arial"/>
          <w:b w:val="true"/>
          <w:sz w:val="22"/>
        </w:rPr>
        <w:t>实际总能耗为83.49 kWh/㎡·a</w:t>
      </w:r>
      <w:r>
        <w:rPr>
          <w:rFonts w:eastAsia="等线" w:ascii="Arial" w:cs="Arial" w:hAnsi="Arial"/>
          <w:sz w:val="22"/>
        </w:rPr>
        <w:t>，较设计模拟值降低2.0%，较GB55015基准值节能12.75%，满足绿色建筑评价标准要求。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过渡季自然通风与智能新风联动策略效果显著，有效降低了非空调季能耗，单位面积电耗仅为3.43 kWh/㎡。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设备故障发生率低，维护及时，系统可靠性高，保障了室内热环境舒适与空气质量。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建议后续进一步优化夏季夜间运行模式，进一步降低供冷期能耗。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七、附件</w:t>
      </w:r>
      <w:bookmarkEnd w:id="10"/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各月智能电表读数截图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设备维护保养记录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能耗分析图表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系统运行日志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记录人签字</w:t>
      </w:r>
      <w:r>
        <w:rPr>
          <w:rFonts w:eastAsia="等线" w:ascii="Arial" w:cs="Arial" w:hAnsi="Arial"/>
          <w:sz w:val="22"/>
        </w:rPr>
        <w:t>：陈子琦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审核人签字</w:t>
      </w:r>
      <w:r>
        <w:rPr>
          <w:rFonts w:eastAsia="等线" w:ascii="Arial" w:cs="Arial" w:hAnsi="Arial"/>
          <w:sz w:val="22"/>
        </w:rPr>
        <w:t>：许杰青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管理单位（盖章）</w:t>
      </w:r>
      <w:r>
        <w:rPr>
          <w:rFonts w:eastAsia="等线" w:ascii="Arial" w:cs="Arial" w:hAnsi="Arial"/>
          <w:sz w:val="22"/>
        </w:rPr>
        <w:t>：安徽建筑大学 建筑与规划学院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日期</w:t>
      </w:r>
      <w:r>
        <w:rPr>
          <w:rFonts w:eastAsia="等线" w:ascii="Arial" w:cs="Arial" w:hAnsi="Arial"/>
          <w:sz w:val="22"/>
        </w:rPr>
        <w:t>：2027年1月5日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238074">
    <w:lvl>
      <w:start w:val="1"/>
      <w:numFmt w:val="decimal"/>
      <w:suff w:val="tab"/>
      <w:lvlText w:val="%1."/>
      <w:rPr>
        <w:color w:val="3370ff"/>
      </w:rPr>
    </w:lvl>
  </w:abstractNum>
  <w:abstractNum w:abstractNumId="1238075">
    <w:lvl>
      <w:start w:val="2"/>
      <w:numFmt w:val="decimal"/>
      <w:suff w:val="tab"/>
      <w:lvlText w:val="%1."/>
      <w:rPr>
        <w:color w:val="3370ff"/>
      </w:rPr>
    </w:lvl>
  </w:abstractNum>
  <w:abstractNum w:abstractNumId="1238076">
    <w:lvl>
      <w:start w:val="3"/>
      <w:numFmt w:val="decimal"/>
      <w:suff w:val="tab"/>
      <w:lvlText w:val="%1."/>
      <w:rPr>
        <w:color w:val="3370ff"/>
      </w:rPr>
    </w:lvl>
  </w:abstractNum>
  <w:abstractNum w:abstractNumId="1238077">
    <w:lvl>
      <w:start w:val="1"/>
      <w:numFmt w:val="decimal"/>
      <w:suff w:val="tab"/>
      <w:lvlText w:val="%1."/>
      <w:rPr>
        <w:color w:val="3370ff"/>
      </w:rPr>
    </w:lvl>
  </w:abstractNum>
  <w:abstractNum w:abstractNumId="1238078">
    <w:lvl>
      <w:start w:val="2"/>
      <w:numFmt w:val="decimal"/>
      <w:suff w:val="tab"/>
      <w:lvlText w:val="%1."/>
      <w:rPr>
        <w:color w:val="3370ff"/>
      </w:rPr>
    </w:lvl>
  </w:abstractNum>
  <w:abstractNum w:abstractNumId="1238079">
    <w:lvl>
      <w:start w:val="3"/>
      <w:numFmt w:val="decimal"/>
      <w:suff w:val="tab"/>
      <w:lvlText w:val="%1."/>
      <w:rPr>
        <w:color w:val="3370ff"/>
      </w:rPr>
    </w:lvl>
  </w:abstractNum>
  <w:abstractNum w:abstractNumId="1238080">
    <w:lvl>
      <w:start w:val="4"/>
      <w:numFmt w:val="decimal"/>
      <w:suff w:val="tab"/>
      <w:lvlText w:val="%1."/>
      <w:rPr>
        <w:color w:val="3370ff"/>
      </w:rPr>
    </w:lvl>
  </w:abstractNum>
  <w:abstractNum w:abstractNumId="1238081">
    <w:lvl>
      <w:start w:val="1"/>
      <w:numFmt w:val="decimal"/>
      <w:suff w:val="tab"/>
      <w:lvlText w:val="%1."/>
      <w:rPr>
        <w:color w:val="3370ff"/>
      </w:rPr>
    </w:lvl>
  </w:abstractNum>
  <w:abstractNum w:abstractNumId="1238082">
    <w:lvl>
      <w:start w:val="2"/>
      <w:numFmt w:val="decimal"/>
      <w:suff w:val="tab"/>
      <w:lvlText w:val="%1."/>
      <w:rPr>
        <w:color w:val="3370ff"/>
      </w:rPr>
    </w:lvl>
  </w:abstractNum>
  <w:abstractNum w:abstractNumId="1238083">
    <w:lvl>
      <w:start w:val="3"/>
      <w:numFmt w:val="decimal"/>
      <w:suff w:val="tab"/>
      <w:lvlText w:val="%1."/>
      <w:rPr>
        <w:color w:val="3370ff"/>
      </w:rPr>
    </w:lvl>
  </w:abstractNum>
  <w:abstractNum w:abstractNumId="1238084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1238074"/>
  </w:num>
  <w:num w:numId="2">
    <w:abstractNumId w:val="1238075"/>
  </w:num>
  <w:num w:numId="3">
    <w:abstractNumId w:val="1238076"/>
  </w:num>
  <w:num w:numId="4">
    <w:abstractNumId w:val="1238077"/>
  </w:num>
  <w:num w:numId="5">
    <w:abstractNumId w:val="1238078"/>
  </w:num>
  <w:num w:numId="6">
    <w:abstractNumId w:val="1238079"/>
  </w:num>
  <w:num w:numId="7">
    <w:abstractNumId w:val="1238080"/>
  </w:num>
  <w:num w:numId="8">
    <w:abstractNumId w:val="1238081"/>
  </w:num>
  <w:num w:numId="9">
    <w:abstractNumId w:val="1238082"/>
  </w:num>
  <w:num w:numId="10">
    <w:abstractNumId w:val="1238083"/>
  </w:num>
  <w:num w:numId="11">
    <w:abstractNumId w:val="1238084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2026-03-22T07:23:56Z</dcterms:created>
  <dc:creator>Apache POI</dc:creator>
</cp:coreProperties>
</file>