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781F0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健身设施产品说明书</w:t>
      </w:r>
    </w:p>
    <w:p w14:paraId="7F22147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版本号：V1.0</w:t>
      </w:r>
    </w:p>
    <w:p w14:paraId="11D4E84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生产日期：____年____月____日</w:t>
      </w:r>
    </w:p>
    <w:p w14:paraId="292D2EB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生产厂家：____健身器材有限公司</w:t>
      </w:r>
    </w:p>
    <w:p w14:paraId="1A96DC2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地址：____</w:t>
      </w:r>
    </w:p>
    <w:p w14:paraId="7FC6974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联系电话：____</w:t>
      </w:r>
    </w:p>
    <w:p w14:paraId="6240756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售后服务热线：____</w:t>
      </w:r>
    </w:p>
    <w:p w14:paraId="4D55535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执行标准：GB 19272-2011《室外健身器材的安全 通用要求》、GB/T 13306-2011《标牌》</w:t>
      </w:r>
    </w:p>
    <w:p w14:paraId="3566D9E7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一、产品概述</w:t>
      </w:r>
      <w:bookmarkEnd w:id="0"/>
    </w:p>
    <w:p w14:paraId="53662A2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套健身设施涵盖有氧运动、力量训练、柔韧性训练三大类核心设备，适用于健身房、社区健身广场、学校体育场馆等场景，可满足不同年龄段、不同健身需求人群的锻炼需求，帮助使用者增强体质、提升体能、改善体态。产品设计遵循人体运动学原理，兼顾安全性、实用性与舒适性，所有零部件均经过严格检测，符合国家健身器材安全标准，且投保产品责任险，为使用者提供安全保障。</w:t>
      </w:r>
    </w:p>
    <w:p w14:paraId="45CA211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本说明书适用于以下健身设施：跑步机、动感单车、椭圆机、哑铃组、坐姿推胸训练器、漫步机、扭腰器、上肢牵引器（可根据实际产品型号调整）。</w:t>
      </w:r>
    </w:p>
    <w:p w14:paraId="040F0235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二、产品参数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0EE0F5E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DA0C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设备名称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A8D5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5E3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核心参数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713A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额定负载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E631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适用环境</w:t>
            </w:r>
          </w:p>
        </w:tc>
      </w:tr>
      <w:tr w14:paraId="1E55006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F650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跑步机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11A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XM-Q2F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B651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电机功率2.0HP，速度范围1-12km/h，跑带宽度45cm，显示屏支持时间、速度、距离、卡路里显示，配备安全开关、手机支架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EEB2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120kg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640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室内干燥通风，温度0-40℃</w:t>
            </w:r>
          </w:p>
        </w:tc>
      </w:tr>
      <w:tr w14:paraId="5E0CDC9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F7A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动感单车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B0B4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DS-300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E9969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静音磁控阻力系统，可调节座椅高度/前后距离，配备防滑脚踏，承重车架，显示时间、转速、卡路里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F39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120kg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C7A0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室内干燥通风，温度0-40℃</w:t>
            </w:r>
          </w:p>
        </w:tc>
      </w:tr>
      <w:tr w14:paraId="77A4AB1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52C8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椭圆机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4C9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TY-500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958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双向运动模式，阻力调节1-8档，步幅可调，显示屏显示时间、距离、心率、卡路里，静音轴承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67A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120kg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D5B2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室内干燥通风，温度0-40℃</w:t>
            </w:r>
          </w:p>
        </w:tc>
      </w:tr>
      <w:tr w14:paraId="77A829F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F4A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哑铃组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276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YL-10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9A3F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材质：铸铁+橡胶防滑套，重量规格：2kg、4kg、6kg、8kg、10kg各2只，表面防滑处理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D57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无负载限制（按单只哑铃重量使用）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22A2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室内/室外避雨处</w:t>
            </w:r>
          </w:p>
        </w:tc>
      </w:tr>
      <w:tr w14:paraId="5EE95A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F702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漫步机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DAAC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MB-200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D8C2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主立柱采用φ114焊管（壁厚3.0mm），踏板配备高度≥30mm防滑护板，摆幅限位≤65°，配备缓冲装置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4D31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120kg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1932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室外通风处，避免积水</w:t>
            </w:r>
          </w:p>
        </w:tc>
      </w:tr>
    </w:tbl>
    <w:p w14:paraId="1D0C3089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三、安全注意事项</w:t>
      </w:r>
      <w:bookmarkEnd w:id="2"/>
    </w:p>
    <w:p w14:paraId="74173CBD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3.1 通用安全要求</w:t>
      </w:r>
      <w:bookmarkEnd w:id="3"/>
    </w:p>
    <w:p w14:paraId="782622A2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使用前请仔细阅读本说明书，熟悉设备操作方法及安全警示，未掌握操作要领前切勿盲目使用。</w:t>
      </w:r>
    </w:p>
    <w:p w14:paraId="1E4E43F9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使用前需检查设备各部件是否完好，包括螺丝、螺母是否紧固，运动部件是否灵活，防护装置是否齐全，若发现损坏、松动或异常声响，应立即停止使用并联系维修人员。</w:t>
      </w:r>
    </w:p>
    <w:p w14:paraId="77A520CD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锻炼前应进行5-10分钟热身运动（如拉伸、慢跑），避免肌肉拉伤；锻炼时穿戴宽松运动服、运动鞋，严禁穿戴易钩挂的衣物，赤脚锻炼需注意防滑。</w:t>
      </w:r>
    </w:p>
    <w:p w14:paraId="3A1E3864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儿童（12岁以下）、老年人、体弱者及患有心脏病、高血压、哮喘等易突发疾病的人群，应在家人看护或医生指导下使用，使用过程中若出现头晕、胸闷、乏力等不适，立即停止锻炼并休息。</w:t>
      </w:r>
    </w:p>
    <w:p w14:paraId="32C96B6E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设备使用时需保持安全距离，漫步机、扭腰器等摆动类设备，边缘向外至少预留1500mm辐射区域，避免碰撞他人；站立姿态使用的器材，以使用者为中心预留半径1000mm的自由空间。</w:t>
      </w:r>
    </w:p>
    <w:p w14:paraId="7C7924BA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严禁在设备上攀爬、打闹、跳跃，严禁超负荷使用设备，避免设备损坏或人身伤害；非框架式底座器材（如单双杠），严禁使用膨胀螺栓固定。</w:t>
      </w:r>
    </w:p>
    <w:p w14:paraId="2C071BA0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使用完毕后，关闭设备电源（电动设备），将可调节部件复位，清理设备表面污渍，保持设备整洁。</w:t>
      </w:r>
    </w:p>
    <w:p w14:paraId="5892A91F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室外设备避免长时间淋雨、暴晒，定期检查防锈层，发现锈蚀及时处理；设备管材末端应采用管塞封住，防止划伤使用者。</w:t>
      </w:r>
    </w:p>
    <w:p w14:paraId="72C6F6E0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3.2 专项安全警示</w:t>
      </w:r>
      <w:bookmarkEnd w:id="4"/>
    </w:p>
    <w:p w14:paraId="33FDD4D2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跑步机：使用时双手握住扶手，避免速度过快，儿童禁止单独使用；跑步过程中若需停止，可按下安全开关或紧急停止按钮，切勿直接跳下。</w:t>
      </w:r>
    </w:p>
    <w:p w14:paraId="2BD59F15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动感单车：调节阻力时循序渐进，避免突然加大阻力导致肌肉拉伤；脚踏时双脚固定牢固，防止滑脱。</w:t>
      </w:r>
    </w:p>
    <w:p w14:paraId="551ED7D9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力量训练设备：使用时动作缓慢、标准，避免发力过猛；哑铃等自由重量器材，放下时轻拿轻放，防止砸伤脚部或损坏设备。</w:t>
      </w:r>
    </w:p>
    <w:p w14:paraId="57D3FCC9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漫步机：摆动时幅度不宜过大，避免超过限位范围；严禁在摆动过程中松开扶手。</w:t>
      </w:r>
    </w:p>
    <w:p w14:paraId="34BC5E31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四、安装说明</w:t>
      </w:r>
      <w:bookmarkEnd w:id="5"/>
    </w:p>
    <w:p w14:paraId="248EED43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4.1 安装准备</w:t>
      </w:r>
      <w:bookmarkEnd w:id="6"/>
    </w:p>
    <w:p w14:paraId="2394ECC3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安装人员需具备专业资质，严格按照安装示意图操作，安装前检查包装清单，确认设备主体、零部件及工具齐全（包装清单见附录）。</w:t>
      </w:r>
    </w:p>
    <w:p w14:paraId="4CBAECF8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选择平整、坚实、通风的安装场地，室内设备需远离水源、电源（避免受潮、触电），室外设备需选择排水良好、无遮挡的区域，避免安装在积水、陡坡或障碍物附近。</w:t>
      </w:r>
    </w:p>
    <w:p w14:paraId="6EA4B4BE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准备安装工具：艾伦扳手、螺丝刀、扳手、卷尺等（部分设备配备专用安装工具）。</w:t>
      </w:r>
    </w:p>
    <w:p w14:paraId="215C50FE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4.2 通用安装步骤</w:t>
      </w:r>
      <w:bookmarkEnd w:id="7"/>
    </w:p>
    <w:p w14:paraId="45D374F6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打开包装，取出设备主体及零部件，轻拿轻放，避免碰撞损坏；检查零部件是否有变形、锈蚀、缺损，若有问题及时联系厂家。</w:t>
      </w:r>
    </w:p>
    <w:p w14:paraId="786B5DA5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按照安装示意图，将各零部件对应连接，紧固螺丝、螺母，确保连接牢固，无松动；螺丝、螺母采用不锈钢材质，做好防松、防盗处理。</w:t>
      </w:r>
    </w:p>
    <w:p w14:paraId="51B3995F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安装完成后，检查设备是否平稳，运动部件是否灵活，防护装置是否安装到位；电动设备需连接正确电源，测试设备运行是否正常，显示屏是否清晰。</w:t>
      </w:r>
    </w:p>
    <w:p w14:paraId="12DED49C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室外设备安装后，检查埋地深度是否符合要求，埋地标志线不得裸露在外；确保活动部件下底面距地面最小高度符合标准（自重式器材≥120mm，漫步机≥80mm）。</w:t>
      </w:r>
    </w:p>
    <w:p w14:paraId="5D28E045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4.3 注意事项</w:t>
      </w:r>
      <w:bookmarkEnd w:id="8"/>
    </w:p>
    <w:p w14:paraId="0702132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安装过程中禁止违规操作，避免零部件损坏；安装完成后，需进行试运行，确认设备无异常后再投入使用；若安装过程中遇到困难，可联系厂家技术人员或售后服务。</w:t>
      </w:r>
    </w:p>
    <w:p w14:paraId="25E87A96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五、操作方法</w:t>
      </w:r>
      <w:bookmarkEnd w:id="9"/>
    </w:p>
    <w:p w14:paraId="4F4CE88A"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5.1 跑步机操作</w:t>
      </w:r>
      <w:bookmarkEnd w:id="10"/>
    </w:p>
    <w:p w14:paraId="07425DD8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连接电源，打开设备开关，显示屏亮起，进入待机状态。</w:t>
      </w:r>
    </w:p>
    <w:p w14:paraId="36D36EC1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按下“速度调节”按钮，设置合适的跑步速度（建议初学者从1-3km/h开始）。</w:t>
      </w:r>
    </w:p>
    <w:p w14:paraId="7F550629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踏上跑带，双手握住扶手，保持身体平衡，开始跑步；跑步过程中可根据自身情况调节速度。</w:t>
      </w:r>
    </w:p>
    <w:p w14:paraId="01EE717E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锻炼结束后，按下“停止”按钮，待跑带完全停止后，再走下跑步机；关闭电源，整理设备。</w:t>
      </w:r>
    </w:p>
    <w:p w14:paraId="24B6AEF4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5.2 动感单车操作</w:t>
      </w:r>
      <w:bookmarkEnd w:id="11"/>
    </w:p>
    <w:p w14:paraId="08F00123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调节座椅高度和前后距离，确保骑行时腿部自然弯曲（膝盖弯曲角度约90°）。</w:t>
      </w:r>
    </w:p>
    <w:p w14:paraId="265C0E6C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双脚放入脚踏，固定牢固，双手握住车把。</w:t>
      </w:r>
    </w:p>
    <w:p w14:paraId="3E799BE2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转动“阻力调节”旋钮，设置合适的阻力（初学者从低阻力开始）。</w:t>
      </w:r>
    </w:p>
    <w:p w14:paraId="1E7CD8EC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开始骑行，保持均匀节奏，可根据锻炼需求调整阻力和骑行速度；锻炼结束后，停止骑行，松开脚踏固定，走下单车。</w:t>
      </w:r>
    </w:p>
    <w:p w14:paraId="34477B0D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5.3 力量训练设备操作（以坐姿推胸训练器为例）</w:t>
      </w:r>
      <w:bookmarkEnd w:id="12"/>
    </w:p>
    <w:p w14:paraId="2641B456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调整座椅高度，确保胸部与推胸板齐平，背部紧贴座椅靠背。</w:t>
      </w:r>
    </w:p>
    <w:p w14:paraId="06184BE4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双手握住推胸手柄，手臂自然弯曲，与肩同宽。</w:t>
      </w:r>
    </w:p>
    <w:p w14:paraId="187474A6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缓慢发力，将手柄向前推出，至手臂伸直（不锁死肘关节），停留1-2秒，再缓慢收回，重复动作。</w:t>
      </w:r>
    </w:p>
    <w:p w14:paraId="08CC7847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锻炼过程中保持呼吸均匀，推出时呼气，收回时吸气；根据自身力量调整配重片重量，避免超负荷。</w:t>
      </w:r>
    </w:p>
    <w:p w14:paraId="5E235466">
      <w:pPr>
        <w:spacing w:before="300" w:after="120" w:line="288" w:lineRule="auto"/>
        <w:ind w:left="0"/>
        <w:jc w:val="left"/>
        <w:outlineLvl w:val="2"/>
      </w:pPr>
      <w:bookmarkStart w:id="13" w:name="heading_13"/>
      <w:r>
        <w:rPr>
          <w:rFonts w:ascii="Arial" w:hAnsi="Arial" w:eastAsia="等线" w:cs="Arial"/>
          <w:b/>
          <w:sz w:val="30"/>
        </w:rPr>
        <w:t>5.4 室外健身设备操作（以漫步机为例）</w:t>
      </w:r>
      <w:bookmarkEnd w:id="13"/>
    </w:p>
    <w:p w14:paraId="7B896401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双手握住扶手，双脚分别踏上两侧踏板，保持身体平衡。</w:t>
      </w:r>
    </w:p>
    <w:p w14:paraId="6FC9969D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双脚交替前后摆动，带动身体运动，摆动幅度控制在限位范围内，避免过大。</w:t>
      </w:r>
    </w:p>
    <w:p w14:paraId="411A22A7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锻炼过程中保持节奏均匀，避免过快摆动；结束后，待踏板停止摆动，再缓慢走下设备。</w:t>
      </w:r>
    </w:p>
    <w:p w14:paraId="2039E6DF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六、日常维护与保养</w:t>
      </w:r>
      <w:bookmarkEnd w:id="14"/>
    </w:p>
    <w:p w14:paraId="37D6EA0D">
      <w:pPr>
        <w:spacing w:before="300" w:after="120" w:line="288" w:lineRule="auto"/>
        <w:ind w:left="0"/>
        <w:jc w:val="left"/>
        <w:outlineLvl w:val="2"/>
      </w:pPr>
      <w:bookmarkStart w:id="15" w:name="heading_15"/>
      <w:r>
        <w:rPr>
          <w:rFonts w:ascii="Arial" w:hAnsi="Arial" w:eastAsia="等线" w:cs="Arial"/>
          <w:b/>
          <w:sz w:val="30"/>
        </w:rPr>
        <w:t>6.1 日常维护（每日/每周）</w:t>
      </w:r>
      <w:bookmarkEnd w:id="15"/>
    </w:p>
    <w:p w14:paraId="6AB10923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清洁：用干净的湿布擦拭设备表面，去除灰尘、污渍、汗水，避免汗水长时间残留导致设备锈蚀；电动设备避免水溅到显示屏和电源接口。</w:t>
      </w:r>
    </w:p>
    <w:p w14:paraId="07FFCFEA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检查：每周检查设备各部件连接情况，拧紧松动的螺丝、螺母；检查运动部件是否灵活，有无异常声响，若有卡顿、异响，及时添加润滑油。</w:t>
      </w:r>
    </w:p>
    <w:p w14:paraId="5D18A59B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电动设备：检查电源线路是否完好，有无破损、老化，插头是否松动；定期清理电机、风扇处的灰尘，确保散热良好。</w:t>
      </w:r>
    </w:p>
    <w:p w14:paraId="704C14CC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室外设备：检查管材表面防锈层是否完好，有无锈蚀、掉漆，及时补涂防锈漆；检查管塞是否完好，缺失时及时更换。</w:t>
      </w:r>
    </w:p>
    <w:p w14:paraId="63573850"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6.2 定期保养（每月/每季度）</w:t>
      </w:r>
      <w:bookmarkEnd w:id="16"/>
    </w:p>
    <w:p w14:paraId="3988D942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润滑：对设备的运动部件（如跑步机跑带、椭圆机轴承、动感单车链条）添加专用润滑油，确保运动顺畅，减少磨损。</w:t>
      </w:r>
    </w:p>
    <w:p w14:paraId="71FC0E12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校准：检查电动设备的显示屏、心率监测等功能，确保数据准确；校准设备的限位装置、阻力调节系统，确保正常运行。</w:t>
      </w:r>
    </w:p>
    <w:p w14:paraId="04A8B430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零部件检查：检查哑铃橡胶套、踏板防滑垫等易损部件，若有磨损、脱落，及时更换；检查承重部件有无变形、裂纹，发现问题立即停止使用并维修。</w:t>
      </w:r>
    </w:p>
    <w:p w14:paraId="30A75F90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专业保养：每半年请专业维修人员对设备进行全面检修，包括电机、电路、承重结构等，确保设备安全可靠。</w:t>
      </w:r>
    </w:p>
    <w:p w14:paraId="7F5BBA84">
      <w:pPr>
        <w:spacing w:before="300" w:after="120" w:line="288" w:lineRule="auto"/>
        <w:ind w:left="0"/>
        <w:jc w:val="left"/>
        <w:outlineLvl w:val="2"/>
      </w:pPr>
      <w:bookmarkStart w:id="17" w:name="heading_17"/>
      <w:r>
        <w:rPr>
          <w:rFonts w:ascii="Arial" w:hAnsi="Arial" w:eastAsia="等线" w:cs="Arial"/>
          <w:b/>
          <w:sz w:val="30"/>
        </w:rPr>
        <w:t>6.3 保养注意事项</w:t>
      </w:r>
      <w:bookmarkEnd w:id="17"/>
    </w:p>
    <w:p w14:paraId="5D8331B8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使用专用润滑油和清洁剂，避免使用腐蚀性强的清洁剂，以免损坏设备表面和零部件。</w:t>
      </w:r>
    </w:p>
    <w:p w14:paraId="410CA8C8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保养时关闭设备电源，避免触电；拆卸零部件时做好标记，便于后续安装。</w:t>
      </w:r>
    </w:p>
    <w:p w14:paraId="56FD11AA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设备长期不使用时，应清洁干净，存放于干燥、通风的环境中，电动设备需断开电源，避免受潮、老化；室外设备需做好防雨、防尘措施。</w:t>
      </w:r>
    </w:p>
    <w:p w14:paraId="1D66D44A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七、常见故障及排除方法</w:t>
      </w:r>
      <w:bookmarkEnd w:id="1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2373C41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A457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A13B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故障现象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E3B8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可能原因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1FA2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排除方法</w:t>
            </w:r>
          </w:p>
        </w:tc>
      </w:tr>
      <w:tr w14:paraId="5DB8F76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1035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跑步机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3FC4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无法启动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CC83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电源未连接、安全开关未复位、电机故障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D09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检查电源插头，复位安全开关；若仍无法启动，联系维修人员检修电机</w:t>
            </w:r>
          </w:p>
        </w:tc>
      </w:tr>
      <w:tr w14:paraId="126E38D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1811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跑步机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1B97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跑带卡顿、异响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7B38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跑带松动、缺少润滑油、异物卡住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BC9A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调整跑带松紧度，添加专用润滑油，清理跑带内异物</w:t>
            </w:r>
          </w:p>
        </w:tc>
      </w:tr>
      <w:tr w14:paraId="135DF77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DAE0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动感单车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A91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阻力调节无效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2F4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阻力旋钮损坏、磁控系统故障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7F48F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检查阻力旋钮，若损坏更换；联系维修人员检修磁控系统</w:t>
            </w:r>
          </w:p>
        </w:tc>
      </w:tr>
      <w:tr w14:paraId="404AF49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516D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力量训练设备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7342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配重片无法移动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D76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锁定装置未打开、导杆卡顿、异物堵塞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8066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打开锁定装置，清理导杆异物，添加润滑油</w:t>
            </w:r>
          </w:p>
        </w:tc>
      </w:tr>
      <w:tr w14:paraId="1237C4A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75FB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漫步机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15FB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摆动卡顿、异响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A0B9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轴承磨损、螺丝松动、缺少润滑油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508C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拧紧螺丝，添加润滑油；若轴承磨损，联系维修人员更换</w:t>
            </w:r>
          </w:p>
        </w:tc>
      </w:tr>
    </w:tbl>
    <w:p w14:paraId="64181D5E">
      <w:pPr>
        <w:spacing w:before="320" w:after="120" w:line="288" w:lineRule="auto"/>
        <w:ind w:left="0"/>
        <w:jc w:val="left"/>
        <w:outlineLvl w:val="1"/>
      </w:pPr>
      <w:bookmarkStart w:id="19" w:name="heading_19"/>
      <w:r>
        <w:rPr>
          <w:rFonts w:ascii="Arial" w:hAnsi="Arial" w:eastAsia="等线" w:cs="Arial"/>
          <w:b/>
          <w:sz w:val="32"/>
        </w:rPr>
        <w:t>八、售后服务</w:t>
      </w:r>
      <w:bookmarkEnd w:id="19"/>
    </w:p>
    <w:p w14:paraId="04D409FC">
      <w:pPr>
        <w:spacing w:before="300" w:after="120" w:line="288" w:lineRule="auto"/>
        <w:ind w:left="0"/>
        <w:jc w:val="left"/>
        <w:outlineLvl w:val="2"/>
      </w:pPr>
      <w:bookmarkStart w:id="20" w:name="heading_20"/>
      <w:r>
        <w:rPr>
          <w:rFonts w:ascii="Arial" w:hAnsi="Arial" w:eastAsia="等线" w:cs="Arial"/>
          <w:b/>
          <w:sz w:val="30"/>
        </w:rPr>
        <w:t>8.1 保修范围及期限</w:t>
      </w:r>
      <w:bookmarkEnd w:id="20"/>
    </w:p>
    <w:p w14:paraId="4712E42E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设备主体（车架、机架）保修1年，电机、显示屏等核心电器部件保修6个月，易损部件（橡胶套、防滑垫、润滑油等）不保修。</w:t>
      </w:r>
    </w:p>
    <w:p w14:paraId="776DA116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保修期内，若设备出现非人为损坏的故障，厂家提供免费维修、更换零部件服务；人为损坏（如违规操作、超负荷使用、碰撞等）导致的故障，维修需收取零部件费用和服务费。</w:t>
      </w:r>
    </w:p>
    <w:p w14:paraId="54626439">
      <w:pPr>
        <w:spacing w:before="300" w:after="120" w:line="288" w:lineRule="auto"/>
        <w:ind w:left="0"/>
        <w:jc w:val="left"/>
        <w:outlineLvl w:val="2"/>
      </w:pPr>
      <w:bookmarkStart w:id="21" w:name="heading_21"/>
      <w:r>
        <w:rPr>
          <w:rFonts w:ascii="Arial" w:hAnsi="Arial" w:eastAsia="等线" w:cs="Arial"/>
          <w:b/>
          <w:sz w:val="30"/>
        </w:rPr>
        <w:t>8.2 售后服务流程</w:t>
      </w:r>
      <w:bookmarkEnd w:id="21"/>
    </w:p>
    <w:p w14:paraId="1EED6E2E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设备出现故障时，用户可拨打售后服务热线，说明设备型号、故障现象及使用情况。</w:t>
      </w:r>
    </w:p>
    <w:p w14:paraId="06DED82D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售后服务人员将根据故障情况，指导用户进行简单排查；若无法排除，将安排专业维修人员上门服务（上门服务范围及费用按厂家规定执行）。</w:t>
      </w:r>
    </w:p>
    <w:p w14:paraId="1D3C6091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维修人员上门后，对设备进行检测、维修，更换损坏零部件（保修期内免费更换非人为损坏的零部件）。</w:t>
      </w:r>
    </w:p>
    <w:p w14:paraId="6D19DE05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维修完成后，用户确认设备运行正常，签署维修确认单；若维修后仍有问题，可再次联系售后服务。</w:t>
      </w:r>
    </w:p>
    <w:p w14:paraId="7EDC41B7">
      <w:pPr>
        <w:spacing w:before="300" w:after="120" w:line="288" w:lineRule="auto"/>
        <w:ind w:left="0"/>
        <w:jc w:val="left"/>
        <w:outlineLvl w:val="2"/>
      </w:pPr>
      <w:bookmarkStart w:id="22" w:name="heading_22"/>
      <w:r>
        <w:rPr>
          <w:rFonts w:ascii="Arial" w:hAnsi="Arial" w:eastAsia="等线" w:cs="Arial"/>
          <w:b/>
          <w:sz w:val="30"/>
        </w:rPr>
        <w:t>8.3 注意事项</w:t>
      </w:r>
      <w:bookmarkEnd w:id="22"/>
    </w:p>
    <w:p w14:paraId="492D203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保修期内，用户需妥善保管产品购买凭证、保修卡，维修时需出示；若设备经过非厂家授权人员维修、改装，将取消保修资格；设备出现故障后，请勿自行拆卸，以免造成二次损坏。</w:t>
      </w:r>
    </w:p>
    <w:p w14:paraId="7E7BA6B2">
      <w:pPr>
        <w:spacing w:before="320" w:after="120" w:line="288" w:lineRule="auto"/>
        <w:ind w:left="0"/>
        <w:jc w:val="left"/>
        <w:outlineLvl w:val="1"/>
      </w:pPr>
      <w:bookmarkStart w:id="23" w:name="heading_23"/>
      <w:r>
        <w:rPr>
          <w:rFonts w:ascii="Arial" w:hAnsi="Arial" w:eastAsia="等线" w:cs="Arial"/>
          <w:b/>
          <w:sz w:val="32"/>
        </w:rPr>
        <w:t>九、附录</w:t>
      </w:r>
      <w:bookmarkEnd w:id="23"/>
    </w:p>
    <w:p w14:paraId="3DAFB44E">
      <w:pPr>
        <w:spacing w:before="300" w:after="120" w:line="288" w:lineRule="auto"/>
        <w:ind w:left="0"/>
        <w:jc w:val="left"/>
        <w:outlineLvl w:val="2"/>
      </w:pPr>
      <w:bookmarkStart w:id="24" w:name="heading_24"/>
      <w:r>
        <w:rPr>
          <w:rFonts w:ascii="Arial" w:hAnsi="Arial" w:eastAsia="等线" w:cs="Arial"/>
          <w:b/>
          <w:sz w:val="30"/>
        </w:rPr>
        <w:t>附录1：包装清单</w:t>
      </w:r>
      <w:bookmarkEnd w:id="2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69190C7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B439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94D5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物品名称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CBE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53D8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0F86D3E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F1D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4880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设备主体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8E1F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771F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按实际设备型号</w:t>
            </w:r>
          </w:p>
        </w:tc>
      </w:tr>
      <w:tr w14:paraId="01A3E2C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3CD3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7CF3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零部件（螺丝、螺母等）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F36E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87FC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专用配件</w:t>
            </w:r>
          </w:p>
        </w:tc>
      </w:tr>
      <w:tr w14:paraId="6E29D72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36F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FE64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安装工具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17D8D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05F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艾伦扳手、螺丝刀等</w:t>
            </w:r>
          </w:p>
        </w:tc>
      </w:tr>
      <w:tr w14:paraId="5BEAB77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816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4B40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产品说明书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0E95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42E9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含保修卡</w:t>
            </w:r>
          </w:p>
        </w:tc>
      </w:tr>
      <w:tr w14:paraId="7B290E9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5A5E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C99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专用润滑油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104F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1瓶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E61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电动/运动部件专用</w:t>
            </w:r>
          </w:p>
        </w:tc>
      </w:tr>
    </w:tbl>
    <w:p w14:paraId="6D870CF2">
      <w:pPr>
        <w:spacing w:before="300" w:after="120" w:line="288" w:lineRule="auto"/>
        <w:ind w:left="0"/>
        <w:jc w:val="left"/>
        <w:outlineLvl w:val="2"/>
      </w:pPr>
      <w:bookmarkStart w:id="25" w:name="heading_25"/>
      <w:r>
        <w:rPr>
          <w:rFonts w:ascii="Arial" w:hAnsi="Arial" w:eastAsia="等线" w:cs="Arial"/>
          <w:b/>
          <w:sz w:val="30"/>
        </w:rPr>
        <w:t>附录2：设备图示（示意图）</w:t>
      </w:r>
      <w:bookmarkEnd w:id="25"/>
    </w:p>
    <w:p w14:paraId="347E5B9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（此处粘贴设备主体及各零部件示意图，标注各部位名称，便于安装和操作）</w:t>
      </w:r>
    </w:p>
    <w:p w14:paraId="55F98530">
      <w:pPr>
        <w:spacing w:before="300" w:after="120" w:line="288" w:lineRule="auto"/>
        <w:ind w:left="0"/>
        <w:jc w:val="left"/>
        <w:outlineLvl w:val="2"/>
      </w:pPr>
      <w:bookmarkStart w:id="26" w:name="heading_26"/>
      <w:r>
        <w:rPr>
          <w:rFonts w:ascii="Arial" w:hAnsi="Arial" w:eastAsia="等线" w:cs="Arial"/>
          <w:b/>
          <w:sz w:val="30"/>
        </w:rPr>
        <w:t>附录3：安全警示标识说明</w:t>
      </w:r>
      <w:bookmarkEnd w:id="26"/>
    </w:p>
    <w:p w14:paraId="28995E6E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⚠️ 警示标识：提醒用户注意安全，避免违规操作导致人身伤害。</w:t>
      </w:r>
    </w:p>
    <w:p w14:paraId="3CC0301A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🔒 锁定标识：指示设备锁定装置位置，提醒使用前解锁、使用后锁定。</w:t>
      </w:r>
    </w:p>
    <w:p w14:paraId="4D9F0F68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🔌 电源标识：指示电源接口位置，提醒用户注意用电安全。</w:t>
      </w:r>
    </w:p>
    <w:p w14:paraId="0B57C321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📌 承重标识：标注设备额定负载，提醒用户切勿超负荷使用。</w:t>
      </w:r>
    </w:p>
    <w:p w14:paraId="6624089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声明：本产品说明书内容仅供参考，若产品型号、参数有调整，以实际产品为准；厂家保留对产品说明书的修改权，恕不另行通知。</w:t>
      </w:r>
    </w:p>
    <w:p w14:paraId="7F6FB59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____健身器材有限公司 版权所有</w:t>
      </w:r>
      <w:bookmarkStart w:id="27" w:name="_GoBack"/>
      <w:bookmarkEnd w:id="27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EAE2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91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BE923771"/>
    <w:multiLevelType w:val="singleLevel"/>
    <w:tmpl w:val="BE923771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3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D7D140E4"/>
    <w:multiLevelType w:val="singleLevel"/>
    <w:tmpl w:val="D7D140E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D7F9FE59"/>
    <w:multiLevelType w:val="singleLevel"/>
    <w:tmpl w:val="D7F9FE5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8">
    <w:nsid w:val="DCBA6B53"/>
    <w:multiLevelType w:val="singleLevel"/>
    <w:tmpl w:val="DCBA6B5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9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0709FD3E"/>
    <w:multiLevelType w:val="singleLevel"/>
    <w:tmpl w:val="0709FD3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0CEF100B"/>
    <w:multiLevelType w:val="singleLevel"/>
    <w:tmpl w:val="0CEF100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0E640482"/>
    <w:multiLevelType w:val="singleLevel"/>
    <w:tmpl w:val="0E64048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8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2470EC97"/>
    <w:multiLevelType w:val="singleLevel"/>
    <w:tmpl w:val="2470EC9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1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322D85CA"/>
    <w:multiLevelType w:val="singleLevel"/>
    <w:tmpl w:val="322D85CA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5">
    <w:nsid w:val="39A0D9AC"/>
    <w:multiLevelType w:val="singleLevel"/>
    <w:tmpl w:val="39A0D9AC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6">
    <w:nsid w:val="46A08BB8"/>
    <w:multiLevelType w:val="singleLevel"/>
    <w:tmpl w:val="46A08BB8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7">
    <w:nsid w:val="4C1BAE26"/>
    <w:multiLevelType w:val="singleLevel"/>
    <w:tmpl w:val="4C1BAE2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8">
    <w:nsid w:val="4C3D7A74"/>
    <w:multiLevelType w:val="singleLevel"/>
    <w:tmpl w:val="4C3D7A7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9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58765686"/>
    <w:multiLevelType w:val="singleLevel"/>
    <w:tmpl w:val="5876568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2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5FFFB1A7"/>
    <w:multiLevelType w:val="singleLevel"/>
    <w:tmpl w:val="5FFFB1A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6">
    <w:nsid w:val="60382F6E"/>
    <w:multiLevelType w:val="singleLevel"/>
    <w:tmpl w:val="60382F6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7">
    <w:nsid w:val="629F7852"/>
    <w:multiLevelType w:val="singleLevel"/>
    <w:tmpl w:val="629F785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8">
    <w:nsid w:val="65CD0074"/>
    <w:multiLevelType w:val="singleLevel"/>
    <w:tmpl w:val="65CD00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9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0">
    <w:nsid w:val="74C28B35"/>
    <w:multiLevelType w:val="singleLevel"/>
    <w:tmpl w:val="74C28B3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1">
    <w:nsid w:val="77ECEA79"/>
    <w:multiLevelType w:val="singleLevel"/>
    <w:tmpl w:val="77ECEA7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2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3">
    <w:nsid w:val="7C246926"/>
    <w:multiLevelType w:val="singleLevel"/>
    <w:tmpl w:val="7C24692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4">
    <w:nsid w:val="7DEC2089"/>
    <w:multiLevelType w:val="singleLevel"/>
    <w:tmpl w:val="7DEC2089"/>
    <w:lvl w:ilvl="0" w:tentative="0">
      <w:start w:val="2"/>
      <w:numFmt w:val="decimal"/>
      <w:lvlText w:val="%1."/>
      <w:lvlJc w:val="left"/>
      <w:rPr>
        <w:color w:val="3370FF"/>
      </w:rPr>
    </w:lvl>
  </w:abstractNum>
  <w:num w:numId="1">
    <w:abstractNumId w:val="22"/>
  </w:num>
  <w:num w:numId="2">
    <w:abstractNumId w:val="15"/>
  </w:num>
  <w:num w:numId="3">
    <w:abstractNumId w:val="42"/>
  </w:num>
  <w:num w:numId="4">
    <w:abstractNumId w:val="13"/>
  </w:num>
  <w:num w:numId="5">
    <w:abstractNumId w:val="9"/>
  </w:num>
  <w:num w:numId="6">
    <w:abstractNumId w:val="24"/>
  </w:num>
  <w:num w:numId="7">
    <w:abstractNumId w:val="31"/>
  </w:num>
  <w:num w:numId="8">
    <w:abstractNumId w:val="49"/>
  </w:num>
  <w:num w:numId="9">
    <w:abstractNumId w:val="23"/>
  </w:num>
  <w:num w:numId="10">
    <w:abstractNumId w:val="5"/>
  </w:num>
  <w:num w:numId="11">
    <w:abstractNumId w:val="32"/>
  </w:num>
  <w:num w:numId="12">
    <w:abstractNumId w:val="43"/>
  </w:num>
  <w:num w:numId="13">
    <w:abstractNumId w:val="14"/>
  </w:num>
  <w:num w:numId="14">
    <w:abstractNumId w:val="39"/>
  </w:num>
  <w:num w:numId="15">
    <w:abstractNumId w:val="20"/>
  </w:num>
  <w:num w:numId="16">
    <w:abstractNumId w:val="30"/>
  </w:num>
  <w:num w:numId="17">
    <w:abstractNumId w:val="18"/>
  </w:num>
  <w:num w:numId="18">
    <w:abstractNumId w:val="17"/>
  </w:num>
  <w:num w:numId="19">
    <w:abstractNumId w:val="7"/>
  </w:num>
  <w:num w:numId="20">
    <w:abstractNumId w:val="37"/>
  </w:num>
  <w:num w:numId="21">
    <w:abstractNumId w:val="46"/>
  </w:num>
  <w:num w:numId="22">
    <w:abstractNumId w:val="27"/>
  </w:num>
  <w:num w:numId="23">
    <w:abstractNumId w:val="36"/>
  </w:num>
  <w:num w:numId="24">
    <w:abstractNumId w:val="8"/>
  </w:num>
  <w:num w:numId="25">
    <w:abstractNumId w:val="53"/>
  </w:num>
  <w:num w:numId="26">
    <w:abstractNumId w:val="51"/>
  </w:num>
  <w:num w:numId="27">
    <w:abstractNumId w:val="12"/>
  </w:num>
  <w:num w:numId="28">
    <w:abstractNumId w:val="47"/>
  </w:num>
  <w:num w:numId="29">
    <w:abstractNumId w:val="6"/>
  </w:num>
  <w:num w:numId="30">
    <w:abstractNumId w:val="35"/>
  </w:num>
  <w:num w:numId="31">
    <w:abstractNumId w:val="2"/>
  </w:num>
  <w:num w:numId="32">
    <w:abstractNumId w:val="41"/>
  </w:num>
  <w:num w:numId="33">
    <w:abstractNumId w:val="54"/>
  </w:num>
  <w:num w:numId="34">
    <w:abstractNumId w:val="0"/>
  </w:num>
  <w:num w:numId="35">
    <w:abstractNumId w:val="29"/>
  </w:num>
  <w:num w:numId="36">
    <w:abstractNumId w:val="40"/>
  </w:num>
  <w:num w:numId="37">
    <w:abstractNumId w:val="21"/>
  </w:num>
  <w:num w:numId="38">
    <w:abstractNumId w:val="19"/>
  </w:num>
  <w:num w:numId="39">
    <w:abstractNumId w:val="33"/>
  </w:num>
  <w:num w:numId="40">
    <w:abstractNumId w:val="52"/>
  </w:num>
  <w:num w:numId="41">
    <w:abstractNumId w:val="11"/>
  </w:num>
  <w:num w:numId="42">
    <w:abstractNumId w:val="4"/>
  </w:num>
  <w:num w:numId="43">
    <w:abstractNumId w:val="10"/>
  </w:num>
  <w:num w:numId="44">
    <w:abstractNumId w:val="44"/>
  </w:num>
  <w:num w:numId="45">
    <w:abstractNumId w:val="1"/>
  </w:num>
  <w:num w:numId="46">
    <w:abstractNumId w:val="28"/>
  </w:num>
  <w:num w:numId="47">
    <w:abstractNumId w:val="3"/>
  </w:num>
  <w:num w:numId="48">
    <w:abstractNumId w:val="45"/>
  </w:num>
  <w:num w:numId="49">
    <w:abstractNumId w:val="50"/>
  </w:num>
  <w:num w:numId="50">
    <w:abstractNumId w:val="38"/>
  </w:num>
  <w:num w:numId="51">
    <w:abstractNumId w:val="34"/>
  </w:num>
  <w:num w:numId="52">
    <w:abstractNumId w:val="48"/>
  </w:num>
  <w:num w:numId="53">
    <w:abstractNumId w:val="25"/>
  </w:num>
  <w:num w:numId="54">
    <w:abstractNumId w:val="26"/>
  </w:num>
  <w:num w:numId="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51551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4115</Words>
  <Characters>4314</Characters>
  <TotalTime>0</TotalTime>
  <ScaleCrop>false</ScaleCrop>
  <LinksUpToDate>false</LinksUpToDate>
  <CharactersWithSpaces>4336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2026-03-21T07:49:00Z</dcterms:created>
  <dc:creator>Apache POI</dc:creator>
  <cp:lastModifiedBy>青萝</cp:lastModifiedBy>
  <dcterms:modified xsi:type="dcterms:W3CDTF">2026-03-21T07:49:46Z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eyJoZGlkIjoiNWY3M2JmMjhjOTRjYzI0YTE2MjcyMTRkYTIxNjY1NzAiLCJ1c2VySWQiOiIxMjA0OTc0MTAwIn0=</vt:lpwstr>
  </property>
  <property fmtid="{D5CDD505-2E9C-101B-9397-08002B2CF9AE}" pid="3" name="KSOProductBuildVer">
    <vt:lpwstr>2052-12.1.0.25225</vt:lpwstr>
  </property>
  <property fmtid="{D5CDD505-2E9C-101B-9397-08002B2CF9AE}" pid="4" name="ICV">
    <vt:lpwstr>604038695E044BD2B874EAD500085276_12</vt:lpwstr>
  </property>
</Properties>
</file>