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各类用水水质检测报告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：徽厅聚绿·天井承合——城市会客厅</w:t>
      </w:r>
    </w:p>
    <w:p>
      <w:pPr>
        <w:spacing w:before="120" w:after="120" w:line="288" w:lineRule="auto"/>
        <w:ind w:left="0"/>
        <w:jc w:val="left"/>
      </w:pPr>
      <w:r>
        <w:rPr>
          <w:rFonts w:eastAsia="等线" w:ascii="Arial" w:cs="Arial" w:hAnsi="Arial"/>
          <w:b w:val="true"/>
          <w:sz w:val="22"/>
        </w:rPr>
        <w:t>工程地点</w:t>
      </w:r>
      <w:r>
        <w:rPr>
          <w:rFonts w:eastAsia="等线" w:ascii="Arial" w:cs="Arial" w:hAnsi="Arial"/>
          <w:sz w:val="22"/>
        </w:rPr>
        <w:t>：安徽·合肥</w:t>
      </w:r>
    </w:p>
    <w:p>
      <w:pPr>
        <w:spacing w:before="120" w:after="120" w:line="288" w:lineRule="auto"/>
        <w:ind w:left="0"/>
        <w:jc w:val="left"/>
      </w:pPr>
      <w:r>
        <w:rPr>
          <w:rFonts w:eastAsia="等线" w:ascii="Arial" w:cs="Arial" w:hAnsi="Arial"/>
          <w:b w:val="true"/>
          <w:sz w:val="22"/>
        </w:rPr>
        <w:t>报告编号</w:t>
      </w:r>
      <w:r>
        <w:rPr>
          <w:rFonts w:eastAsia="等线" w:ascii="Arial" w:cs="Arial" w:hAnsi="Arial"/>
          <w:sz w:val="22"/>
        </w:rPr>
        <w:t>：WQT-2026-0325</w:t>
      </w:r>
    </w:p>
    <w:p>
      <w:pPr>
        <w:spacing w:before="120" w:after="120" w:line="288" w:lineRule="auto"/>
        <w:ind w:left="0"/>
        <w:jc w:val="left"/>
      </w:pPr>
      <w:r>
        <w:rPr>
          <w:rFonts w:eastAsia="等线" w:ascii="Arial" w:cs="Arial" w:hAnsi="Arial"/>
          <w:b w:val="true"/>
          <w:sz w:val="22"/>
        </w:rPr>
        <w:t>建设单位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检测单位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检测日期</w:t>
      </w:r>
      <w:r>
        <w:rPr>
          <w:rFonts w:eastAsia="等线" w:ascii="Arial" w:cs="Arial" w:hAnsi="Arial"/>
          <w:sz w:val="22"/>
        </w:rPr>
        <w:t>：2026年3月25日</w:t>
      </w:r>
    </w:p>
    <w:p>
      <w:pPr>
        <w:spacing w:before="120" w:after="120" w:line="288" w:lineRule="auto"/>
        <w:ind w:left="0"/>
        <w:jc w:val="left"/>
      </w:pPr>
      <w:r>
        <w:rPr>
          <w:rFonts w:eastAsia="等线" w:ascii="Arial" w:cs="Arial" w:hAnsi="Arial"/>
          <w:b w:val="true"/>
          <w:sz w:val="22"/>
        </w:rPr>
        <w:t>编制人</w:t>
      </w:r>
      <w:r>
        <w:rPr>
          <w:rFonts w:eastAsia="等线" w:ascii="Arial" w:cs="Arial" w:hAnsi="Arial"/>
          <w:sz w:val="22"/>
        </w:rPr>
        <w:t>：陈子琦</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：许杰青</w:t>
      </w:r>
    </w:p>
    <w:p>
      <w:pPr>
        <w:spacing w:before="120" w:after="120" w:line="288" w:lineRule="auto"/>
        <w:ind w:left="0"/>
        <w:jc w:val="left"/>
      </w:pPr>
      <w:r>
        <w:rPr>
          <w:rFonts w:eastAsia="等线" w:ascii="Arial" w:cs="Arial" w:hAnsi="Arial"/>
          <w:b w:val="true"/>
          <w:sz w:val="22"/>
        </w:rPr>
        <w:t>审定人</w:t>
      </w:r>
      <w:r>
        <w:rPr>
          <w:rFonts w:eastAsia="等线" w:ascii="Arial" w:cs="Arial" w:hAnsi="Arial"/>
          <w:sz w:val="22"/>
        </w:rPr>
        <w:t>：陈萨如拉</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一、检测概况</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1.1 工程基本信息</w:t>
      </w:r>
      <w:bookmarkEnd w:id="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3000"/>
        <w:gridCol w:w="3000"/>
      </w:tblGrid>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项目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内容</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建筑用途</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城市会客厅（公共建筑）</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建筑面积</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6899 ㎡</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建筑层数</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地上4层</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建筑高度</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18 m</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检测范围</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生活饮用水、中水回用水、绿化灌溉水、直饮水四类用水</w:t>
            </w:r>
          </w:p>
        </w:tc>
      </w:tr>
      <w:tr>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检测依据</w:t>
            </w:r>
          </w:p>
        </w:tc>
        <w:tc>
          <w:tcPr>
            <w:tcW w:w="300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《生活饮用水卫生标准》GB 5749-2022&lt;br&gt;《城市污水再生利用 城市杂用水水质》GB/T 18920-2020&lt;br&gt;《饮用净水水质标准》CJ 94-2005&lt;br&gt;《农田灌溉水质标准》GB 5084-2021</w:t>
            </w:r>
          </w:p>
        </w:tc>
      </w:tr>
    </w:tbl>
    <w:p>
      <w:pPr>
        <w:pStyle w:val="3"/>
        <w:spacing w:before="300" w:after="120" w:line="288" w:lineRule="auto"/>
        <w:ind w:left="0"/>
        <w:jc w:val="left"/>
        <w:outlineLvl w:val="2"/>
      </w:pPr>
      <w:bookmarkStart w:name="heading_2" w:id="2"/>
      <w:r>
        <w:rPr>
          <w:rFonts w:eastAsia="等线" w:ascii="Arial" w:cs="Arial" w:hAnsi="Arial"/>
          <w:b w:val="true"/>
          <w:sz w:val="30"/>
        </w:rPr>
        <w:t>1.2 检测目的</w:t>
      </w:r>
      <w:bookmarkEnd w:id="2"/>
    </w:p>
    <w:p>
      <w:pPr>
        <w:spacing w:before="120" w:after="120" w:line="288" w:lineRule="auto"/>
        <w:ind w:left="0"/>
        <w:jc w:val="left"/>
      </w:pPr>
      <w:r>
        <w:rPr>
          <w:rFonts w:eastAsia="等线" w:ascii="Arial" w:cs="Arial" w:hAnsi="Arial"/>
          <w:sz w:val="22"/>
        </w:rPr>
        <w:t>验证本项目各类用水水质是否符合国家规范及绿色建筑节水与健康要求，为绿色建筑星级申报提供水质安全佐证。</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3" w:id="3"/>
      <w:r>
        <w:rPr>
          <w:rFonts w:eastAsia="等线" w:ascii="Arial" w:cs="Arial" w:hAnsi="Arial"/>
          <w:b w:val="true"/>
          <w:sz w:val="32"/>
        </w:rPr>
        <w:t>二、检测内容与方法</w:t>
      </w:r>
      <w:bookmarkEnd w:id="3"/>
    </w:p>
    <w:p>
      <w:pPr>
        <w:pStyle w:val="3"/>
        <w:spacing w:before="300" w:after="120" w:line="288" w:lineRule="auto"/>
        <w:ind w:left="0"/>
        <w:jc w:val="left"/>
        <w:outlineLvl w:val="2"/>
      </w:pPr>
      <w:bookmarkStart w:name="heading_4" w:id="4"/>
      <w:r>
        <w:rPr>
          <w:rFonts w:eastAsia="等线" w:ascii="Arial" w:cs="Arial" w:hAnsi="Arial"/>
          <w:b w:val="true"/>
          <w:sz w:val="30"/>
        </w:rPr>
        <w:t>2.1 检测用水类别</w:t>
      </w:r>
      <w:bookmarkEnd w:id="4"/>
    </w:p>
    <w:p>
      <w:pPr>
        <w:numPr>
          <w:numId w:val="1"/>
        </w:numPr>
        <w:spacing w:before="120" w:after="120" w:line="288" w:lineRule="auto"/>
        <w:ind w:left="0"/>
        <w:jc w:val="left"/>
      </w:pPr>
      <w:r>
        <w:rPr>
          <w:rFonts w:eastAsia="等线" w:ascii="Arial" w:cs="Arial" w:hAnsi="Arial"/>
          <w:b w:val="true"/>
          <w:sz w:val="22"/>
        </w:rPr>
        <w:t>生活饮用水</w:t>
      </w:r>
      <w:r>
        <w:rPr>
          <w:rFonts w:eastAsia="等线" w:ascii="Arial" w:cs="Arial" w:hAnsi="Arial"/>
          <w:sz w:val="22"/>
        </w:rPr>
        <w:t>：健康之家洗手、公共卫生间洗漱用水</w:t>
      </w:r>
    </w:p>
    <w:p>
      <w:pPr>
        <w:numPr>
          <w:numId w:val="2"/>
        </w:numPr>
        <w:spacing w:before="120" w:after="120" w:line="288" w:lineRule="auto"/>
        <w:ind w:left="0"/>
        <w:jc w:val="left"/>
      </w:pPr>
      <w:r>
        <w:rPr>
          <w:rFonts w:eastAsia="等线" w:ascii="Arial" w:cs="Arial" w:hAnsi="Arial"/>
          <w:b w:val="true"/>
          <w:sz w:val="22"/>
        </w:rPr>
        <w:t>直饮水</w:t>
      </w:r>
      <w:r>
        <w:rPr>
          <w:rFonts w:eastAsia="等线" w:ascii="Arial" w:cs="Arial" w:hAnsi="Arial"/>
          <w:sz w:val="22"/>
        </w:rPr>
        <w:t>：健康之家直饮机出水</w:t>
      </w:r>
    </w:p>
    <w:p>
      <w:pPr>
        <w:numPr>
          <w:numId w:val="3"/>
        </w:numPr>
        <w:spacing w:before="120" w:after="120" w:line="288" w:lineRule="auto"/>
        <w:ind w:left="0"/>
        <w:jc w:val="left"/>
      </w:pPr>
      <w:r>
        <w:rPr>
          <w:rFonts w:eastAsia="等线" w:ascii="Arial" w:cs="Arial" w:hAnsi="Arial"/>
          <w:b w:val="true"/>
          <w:sz w:val="22"/>
        </w:rPr>
        <w:t>中水回用水</w:t>
      </w:r>
      <w:r>
        <w:rPr>
          <w:rFonts w:eastAsia="等线" w:ascii="Arial" w:cs="Arial" w:hAnsi="Arial"/>
          <w:sz w:val="22"/>
        </w:rPr>
        <w:t>：冲厕用水</w:t>
      </w:r>
    </w:p>
    <w:p>
      <w:pPr>
        <w:numPr>
          <w:numId w:val="4"/>
        </w:numPr>
        <w:spacing w:before="120" w:after="120" w:line="288" w:lineRule="auto"/>
        <w:ind w:left="0"/>
        <w:jc w:val="left"/>
      </w:pPr>
      <w:r>
        <w:rPr>
          <w:rFonts w:eastAsia="等线" w:ascii="Arial" w:cs="Arial" w:hAnsi="Arial"/>
          <w:b w:val="true"/>
          <w:sz w:val="22"/>
        </w:rPr>
        <w:t>绿化灌溉水</w:t>
      </w:r>
      <w:r>
        <w:rPr>
          <w:rFonts w:eastAsia="等线" w:ascii="Arial" w:cs="Arial" w:hAnsi="Arial"/>
          <w:sz w:val="22"/>
        </w:rPr>
        <w:t>：屋面及庭院绿化用水</w:t>
      </w:r>
    </w:p>
    <w:p>
      <w:pPr>
        <w:pStyle w:val="3"/>
        <w:spacing w:before="300" w:after="120" w:line="288" w:lineRule="auto"/>
        <w:ind w:left="0"/>
        <w:jc w:val="left"/>
        <w:outlineLvl w:val="2"/>
      </w:pPr>
      <w:bookmarkStart w:name="heading_5" w:id="5"/>
      <w:r>
        <w:rPr>
          <w:rFonts w:eastAsia="等线" w:ascii="Arial" w:cs="Arial" w:hAnsi="Arial"/>
          <w:b w:val="true"/>
          <w:sz w:val="30"/>
        </w:rPr>
        <w:t>2.2 核心检测项目与方法</w:t>
      </w:r>
      <w:bookmarkEnd w:id="5"/>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用水类别</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关键检测项目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检测方法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执行标准</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生活饮用水/直饮水</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浑浊度、色度、臭和味、余氯、细菌总数、总大肠菌群、COD、重金属</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分光光度法、微生物培养法、原子吸收法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5749-2022、CJ 94-2005</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中水回用水</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浊度、pH、氨氮、总磷、粪大肠菌群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滴定法、分光光度法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18920-2020</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绿化灌溉水</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pH、EC、重金属、粪大肠菌群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电位法、原子吸收法</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5084-2021</w:t>
            </w:r>
          </w:p>
        </w:tc>
      </w:tr>
    </w:tbl>
    <w:p>
      <w:pPr>
        <w:pStyle w:val="3"/>
        <w:spacing w:before="300" w:after="120" w:line="288" w:lineRule="auto"/>
        <w:ind w:left="0"/>
        <w:jc w:val="left"/>
        <w:outlineLvl w:val="2"/>
      </w:pPr>
      <w:bookmarkStart w:name="heading_6" w:id="6"/>
      <w:r>
        <w:rPr>
          <w:rFonts w:eastAsia="等线" w:ascii="Arial" w:cs="Arial" w:hAnsi="Arial"/>
          <w:b w:val="true"/>
          <w:sz w:val="30"/>
        </w:rPr>
        <w:t>2.3 检测点布置</w:t>
      </w:r>
      <w:bookmarkEnd w:id="6"/>
    </w:p>
    <w:p>
      <w:pPr>
        <w:numPr>
          <w:numId w:val="5"/>
        </w:numPr>
        <w:spacing w:before="120" w:after="120" w:line="288" w:lineRule="auto"/>
        <w:ind w:left="0"/>
        <w:jc w:val="left"/>
      </w:pPr>
      <w:r>
        <w:rPr>
          <w:rFonts w:eastAsia="等线" w:ascii="Arial" w:cs="Arial" w:hAnsi="Arial"/>
          <w:sz w:val="22"/>
        </w:rPr>
        <w:t>生活饮用水：每层卫生间、健康之家洗手盆共8个检测点</w:t>
      </w:r>
    </w:p>
    <w:p>
      <w:pPr>
        <w:numPr>
          <w:numId w:val="6"/>
        </w:numPr>
        <w:spacing w:before="120" w:after="120" w:line="288" w:lineRule="auto"/>
        <w:ind w:left="0"/>
        <w:jc w:val="left"/>
      </w:pPr>
      <w:r>
        <w:rPr>
          <w:rFonts w:eastAsia="等线" w:ascii="Arial" w:cs="Arial" w:hAnsi="Arial"/>
          <w:sz w:val="22"/>
        </w:rPr>
        <w:t>直饮水：健康之家直饮机共2个检测点</w:t>
      </w:r>
    </w:p>
    <w:p>
      <w:pPr>
        <w:numPr>
          <w:numId w:val="7"/>
        </w:numPr>
        <w:spacing w:before="120" w:after="120" w:line="288" w:lineRule="auto"/>
        <w:ind w:left="0"/>
        <w:jc w:val="left"/>
      </w:pPr>
      <w:r>
        <w:rPr>
          <w:rFonts w:eastAsia="等线" w:ascii="Arial" w:cs="Arial" w:hAnsi="Arial"/>
          <w:sz w:val="22"/>
        </w:rPr>
        <w:t>中水回用水：设备间回用水池、各楼层冲厕管共4个检测点</w:t>
      </w:r>
    </w:p>
    <w:p>
      <w:pPr>
        <w:numPr>
          <w:numId w:val="8"/>
        </w:numPr>
        <w:spacing w:before="120" w:after="120" w:line="288" w:lineRule="auto"/>
        <w:ind w:left="0"/>
        <w:jc w:val="left"/>
      </w:pPr>
      <w:r>
        <w:rPr>
          <w:rFonts w:eastAsia="等线" w:ascii="Arial" w:cs="Arial" w:hAnsi="Arial"/>
          <w:sz w:val="22"/>
        </w:rPr>
        <w:t>绿化灌溉水：屋面喷淋口、庭院灌溉口共3个检测点</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7" w:id="7"/>
      <w:r>
        <w:rPr>
          <w:rFonts w:eastAsia="等线" w:ascii="Arial" w:cs="Arial" w:hAnsi="Arial"/>
          <w:b w:val="true"/>
          <w:sz w:val="32"/>
        </w:rPr>
        <w:t>三、检测结果</w:t>
      </w:r>
      <w:bookmarkEnd w:id="7"/>
    </w:p>
    <w:p>
      <w:pPr>
        <w:pStyle w:val="3"/>
        <w:spacing w:before="300" w:after="120" w:line="288" w:lineRule="auto"/>
        <w:ind w:left="0"/>
        <w:jc w:val="left"/>
        <w:outlineLvl w:val="2"/>
      </w:pPr>
      <w:bookmarkStart w:name="heading_8" w:id="8"/>
      <w:r>
        <w:rPr>
          <w:rFonts w:eastAsia="等线" w:ascii="Arial" w:cs="Arial" w:hAnsi="Arial"/>
          <w:b w:val="true"/>
          <w:sz w:val="30"/>
        </w:rPr>
        <w:t>3.1 生活饮用水检测结果</w:t>
      </w:r>
      <w:bookmarkEnd w:id="8"/>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检测结果</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5749-2022限值</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浑浊度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色度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≤15度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臭和味</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无异味</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无异臭异味</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余氯</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0.2~4.0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细菌总数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 CFU/mL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 CFU/mL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未检出</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不得检出</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铅</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镉</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0.001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Style w:val="3"/>
        <w:spacing w:before="300" w:after="120" w:line="288" w:lineRule="auto"/>
        <w:ind w:left="0"/>
        <w:jc w:val="left"/>
        <w:outlineLvl w:val="2"/>
      </w:pPr>
      <w:bookmarkStart w:name="heading_9" w:id="9"/>
      <w:r>
        <w:rPr>
          <w:rFonts w:eastAsia="等线" w:ascii="Arial" w:cs="Arial" w:hAnsi="Arial"/>
          <w:b w:val="true"/>
          <w:sz w:val="30"/>
        </w:rPr>
        <w:t>3.2 直饮水检测结果</w:t>
      </w:r>
      <w:bookmarkEnd w:id="9"/>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检测结果</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CJ 94-2005限值</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浑浊度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0.3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色度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余氯</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0.1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0.05~0.3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细菌总数</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CFU/mL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≤50 CFU/mL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未检出</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不得检出</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重金属（铅/镉）</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0.003/0.0005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≤0.01/0.005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Style w:val="3"/>
        <w:spacing w:before="300" w:after="120" w:line="288" w:lineRule="auto"/>
        <w:ind w:left="0"/>
        <w:jc w:val="left"/>
        <w:outlineLvl w:val="2"/>
      </w:pPr>
      <w:bookmarkStart w:name="heading_10" w:id="10"/>
      <w:r>
        <w:rPr>
          <w:rFonts w:eastAsia="等线" w:ascii="Arial" w:cs="Arial" w:hAnsi="Arial"/>
          <w:b w:val="true"/>
          <w:sz w:val="30"/>
        </w:rPr>
        <w:t>3.3 中水回用水检测结果</w:t>
      </w:r>
      <w:bookmarkEnd w:id="10"/>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检测结果</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18920-2020限值</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浊度</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 NTU</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pH</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7.2</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6.0~9.0</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氨氮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总磷</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1.2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粪大肠菌群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3个/L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≤3个/L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Style w:val="3"/>
        <w:spacing w:before="300" w:after="120" w:line="288" w:lineRule="auto"/>
        <w:ind w:left="0"/>
        <w:jc w:val="left"/>
        <w:outlineLvl w:val="2"/>
      </w:pPr>
      <w:bookmarkStart w:name="heading_11" w:id="11"/>
      <w:r>
        <w:rPr>
          <w:rFonts w:eastAsia="等线" w:ascii="Arial" w:cs="Arial" w:hAnsi="Arial"/>
          <w:b w:val="true"/>
          <w:sz w:val="30"/>
        </w:rPr>
        <w:t>3.4 绿化灌溉水检测结果</w:t>
      </w:r>
      <w:bookmarkEnd w:id="11"/>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070"/>
        <w:gridCol w:w="2070"/>
        <w:gridCol w:w="2070"/>
        <w:gridCol w:w="2070"/>
      </w:tblGrid>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检测项目</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检测结果</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 5084-2021限值</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达标情况</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pH</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7.3</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5.5~8.5</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EC</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0.8 mS/cm</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 mS/cm</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铅</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≤0.2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镉</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0.005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≤0.01 mg/L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r>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粪大肠菌群</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100个/100mL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≤1000个/100mL</w:t>
            </w:r>
          </w:p>
        </w:tc>
        <w:tc>
          <w:tcPr>
            <w:tcW w:w="207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 达标</w:t>
            </w:r>
          </w:p>
        </w:tc>
      </w:tr>
    </w:tbl>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2" w:id="12"/>
      <w:r>
        <w:rPr>
          <w:rFonts w:eastAsia="等线" w:ascii="Arial" w:cs="Arial" w:hAnsi="Arial"/>
          <w:b w:val="true"/>
          <w:sz w:val="32"/>
        </w:rPr>
        <w:t>四、结果分析与评价</w:t>
      </w:r>
      <w:bookmarkEnd w:id="12"/>
    </w:p>
    <w:p>
      <w:pPr>
        <w:pStyle w:val="3"/>
        <w:spacing w:before="300" w:after="120" w:line="288" w:lineRule="auto"/>
        <w:ind w:left="0"/>
        <w:jc w:val="left"/>
        <w:outlineLvl w:val="2"/>
      </w:pPr>
      <w:bookmarkStart w:name="heading_13" w:id="13"/>
      <w:r>
        <w:rPr>
          <w:rFonts w:eastAsia="等线" w:ascii="Arial" w:cs="Arial" w:hAnsi="Arial"/>
          <w:b w:val="true"/>
          <w:sz w:val="30"/>
        </w:rPr>
        <w:t>4.1 水质安全分析</w:t>
      </w:r>
      <w:bookmarkEnd w:id="13"/>
    </w:p>
    <w:p>
      <w:pPr>
        <w:numPr>
          <w:numId w:val="9"/>
        </w:numPr>
        <w:spacing w:before="120" w:after="120" w:line="288" w:lineRule="auto"/>
        <w:ind w:left="0"/>
        <w:jc w:val="left"/>
      </w:pPr>
      <w:r>
        <w:rPr>
          <w:rFonts w:eastAsia="等线" w:ascii="Arial" w:cs="Arial" w:hAnsi="Arial"/>
          <w:b w:val="true"/>
          <w:sz w:val="22"/>
        </w:rPr>
        <w:t>生活饮用水与直饮水</w:t>
      </w:r>
      <w:r>
        <w:rPr>
          <w:rFonts w:eastAsia="等线" w:ascii="Arial" w:cs="Arial" w:hAnsi="Arial"/>
          <w:sz w:val="22"/>
        </w:rPr>
        <w:t>：所有指标均优于国家限值，直饮水水质达到饮用净水标准，可安全饮用与洗漱，保障健康之家使用需求。</w:t>
      </w:r>
    </w:p>
    <w:p>
      <w:pPr>
        <w:numPr>
          <w:numId w:val="10"/>
        </w:numPr>
        <w:spacing w:before="120" w:after="120" w:line="288" w:lineRule="auto"/>
        <w:ind w:left="0"/>
        <w:jc w:val="left"/>
      </w:pPr>
      <w:r>
        <w:rPr>
          <w:rFonts w:eastAsia="等线" w:ascii="Arial" w:cs="Arial" w:hAnsi="Arial"/>
          <w:b w:val="true"/>
          <w:sz w:val="22"/>
        </w:rPr>
        <w:t>中水回用水</w:t>
      </w:r>
      <w:r>
        <w:rPr>
          <w:rFonts w:eastAsia="等线" w:ascii="Arial" w:cs="Arial" w:hAnsi="Arial"/>
          <w:sz w:val="22"/>
        </w:rPr>
        <w:t>：符合城市杂用水水质要求，可安全用于冲厕，实现水资源高效利用。</w:t>
      </w:r>
    </w:p>
    <w:p>
      <w:pPr>
        <w:numPr>
          <w:numId w:val="11"/>
        </w:numPr>
        <w:spacing w:before="120" w:after="120" w:line="288" w:lineRule="auto"/>
        <w:ind w:left="0"/>
        <w:jc w:val="left"/>
      </w:pPr>
      <w:r>
        <w:rPr>
          <w:rFonts w:eastAsia="等线" w:ascii="Arial" w:cs="Arial" w:hAnsi="Arial"/>
          <w:b w:val="true"/>
          <w:sz w:val="22"/>
        </w:rPr>
        <w:t>绿化灌溉水</w:t>
      </w:r>
      <w:r>
        <w:rPr>
          <w:rFonts w:eastAsia="等线" w:ascii="Arial" w:cs="Arial" w:hAnsi="Arial"/>
          <w:sz w:val="22"/>
        </w:rPr>
        <w:t>：满足农田灌溉水质标准，对植物与土壤无危害，符合生态环保要求。</w:t>
      </w:r>
    </w:p>
    <w:p>
      <w:pPr>
        <w:pStyle w:val="3"/>
        <w:spacing w:before="300" w:after="120" w:line="288" w:lineRule="auto"/>
        <w:ind w:left="0"/>
        <w:jc w:val="left"/>
        <w:outlineLvl w:val="2"/>
      </w:pPr>
      <w:bookmarkStart w:name="heading_14" w:id="14"/>
      <w:r>
        <w:rPr>
          <w:rFonts w:eastAsia="等线" w:ascii="Arial" w:cs="Arial" w:hAnsi="Arial"/>
          <w:b w:val="true"/>
          <w:sz w:val="30"/>
        </w:rPr>
        <w:t>4.2 绿色建筑符合性</w:t>
      </w:r>
      <w:bookmarkEnd w:id="14"/>
    </w:p>
    <w:p>
      <w:pPr>
        <w:numPr>
          <w:numId w:val="12"/>
        </w:numPr>
        <w:spacing w:before="120" w:after="120" w:line="288" w:lineRule="auto"/>
        <w:ind w:left="0"/>
        <w:jc w:val="left"/>
      </w:pPr>
      <w:r>
        <w:rPr>
          <w:rFonts w:eastAsia="等线" w:ascii="Arial" w:cs="Arial" w:hAnsi="Arial"/>
          <w:sz w:val="22"/>
        </w:rPr>
        <w:t>符合《绿色建筑评价标准》GB/T 50378-2019中</w:t>
      </w:r>
      <w:r>
        <w:rPr>
          <w:rFonts w:eastAsia="等线" w:ascii="Arial" w:cs="Arial" w:hAnsi="Arial"/>
          <w:b w:val="true"/>
          <w:sz w:val="22"/>
        </w:rPr>
        <w:t>节水与水资源利用</w:t>
      </w:r>
      <w:r>
        <w:rPr>
          <w:rFonts w:eastAsia="等线" w:ascii="Arial" w:cs="Arial" w:hAnsi="Arial"/>
          <w:sz w:val="22"/>
        </w:rPr>
        <w:t>、</w:t>
      </w:r>
      <w:r>
        <w:rPr>
          <w:rFonts w:eastAsia="等线" w:ascii="Arial" w:cs="Arial" w:hAnsi="Arial"/>
          <w:b w:val="true"/>
          <w:sz w:val="22"/>
        </w:rPr>
        <w:t>健康舒适</w:t>
      </w:r>
      <w:r>
        <w:rPr>
          <w:rFonts w:eastAsia="等线" w:ascii="Arial" w:cs="Arial" w:hAnsi="Arial"/>
          <w:sz w:val="22"/>
        </w:rPr>
        <w:t>相关要求，水质安全保障充分。</w:t>
      </w:r>
    </w:p>
    <w:p>
      <w:pPr>
        <w:numPr>
          <w:numId w:val="13"/>
        </w:numPr>
        <w:spacing w:before="120" w:after="120" w:line="288" w:lineRule="auto"/>
        <w:ind w:left="0"/>
        <w:jc w:val="left"/>
      </w:pPr>
      <w:r>
        <w:rPr>
          <w:rFonts w:eastAsia="等线" w:ascii="Arial" w:cs="Arial" w:hAnsi="Arial"/>
          <w:sz w:val="22"/>
        </w:rPr>
        <w:t>中水回用率≥40%，年节约自来水约1200m³，节水效益显著。</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5" w:id="15"/>
      <w:r>
        <w:rPr>
          <w:rFonts w:eastAsia="等线" w:ascii="Arial" w:cs="Arial" w:hAnsi="Arial"/>
          <w:b w:val="true"/>
          <w:sz w:val="32"/>
        </w:rPr>
        <w:t>五、结论</w:t>
      </w:r>
      <w:bookmarkEnd w:id="15"/>
    </w:p>
    <w:p>
      <w:pPr>
        <w:spacing w:before="120" w:after="120" w:line="288" w:lineRule="auto"/>
        <w:ind w:left="0"/>
        <w:jc w:val="left"/>
      </w:pPr>
      <w:r>
        <w:rPr>
          <w:rFonts w:eastAsia="等线" w:ascii="Arial" w:cs="Arial" w:hAnsi="Arial"/>
          <w:sz w:val="22"/>
        </w:rPr>
        <w:t>本项目各类用水水质</w:t>
      </w:r>
      <w:r>
        <w:rPr>
          <w:rFonts w:eastAsia="等线" w:ascii="Arial" w:cs="Arial" w:hAnsi="Arial"/>
          <w:b w:val="true"/>
          <w:sz w:val="22"/>
        </w:rPr>
        <w:t>全部符合国家规范限值</w:t>
      </w:r>
      <w:r>
        <w:rPr>
          <w:rFonts w:eastAsia="等线" w:ascii="Arial" w:cs="Arial" w:hAnsi="Arial"/>
          <w:sz w:val="22"/>
        </w:rPr>
        <w:t>，生活饮用水、直饮水、中水回用水、绿化灌溉水均满足对应使用功能与环保要求，水质安全可靠，可正常投入使用。</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6" w:id="16"/>
      <w:r>
        <w:rPr>
          <w:rFonts w:eastAsia="等线" w:ascii="Arial" w:cs="Arial" w:hAnsi="Arial"/>
          <w:b w:val="true"/>
          <w:sz w:val="32"/>
        </w:rPr>
        <w:t>六、附件</w:t>
      </w:r>
      <w:bookmarkEnd w:id="16"/>
    </w:p>
    <w:p>
      <w:pPr>
        <w:numPr>
          <w:numId w:val="14"/>
        </w:numPr>
        <w:spacing w:before="120" w:after="120" w:line="288" w:lineRule="auto"/>
        <w:ind w:left="0"/>
        <w:jc w:val="left"/>
      </w:pPr>
      <w:r>
        <w:rPr>
          <w:rFonts w:eastAsia="等线" w:ascii="Arial" w:cs="Arial" w:hAnsi="Arial"/>
          <w:sz w:val="22"/>
        </w:rPr>
        <w:t>检测点布置图</w:t>
      </w:r>
    </w:p>
    <w:p>
      <w:pPr>
        <w:numPr>
          <w:numId w:val="15"/>
        </w:numPr>
        <w:spacing w:before="120" w:after="120" w:line="288" w:lineRule="auto"/>
        <w:ind w:left="0"/>
        <w:jc w:val="left"/>
      </w:pPr>
      <w:r>
        <w:rPr>
          <w:rFonts w:eastAsia="等线" w:ascii="Arial" w:cs="Arial" w:hAnsi="Arial"/>
          <w:sz w:val="22"/>
        </w:rPr>
        <w:t>检测仪器校准证书</w:t>
      </w:r>
    </w:p>
    <w:p>
      <w:pPr>
        <w:numPr>
          <w:numId w:val="16"/>
        </w:numPr>
        <w:spacing w:before="120" w:after="120" w:line="288" w:lineRule="auto"/>
        <w:ind w:left="0"/>
        <w:jc w:val="left"/>
      </w:pPr>
      <w:r>
        <w:rPr>
          <w:rFonts w:eastAsia="等线" w:ascii="Arial" w:cs="Arial" w:hAnsi="Arial"/>
          <w:sz w:val="22"/>
        </w:rPr>
        <w:t>原始检测数据记录表</w:t>
      </w:r>
    </w:p>
    <w:p>
      <w:pPr>
        <w:numPr>
          <w:numId w:val="17"/>
        </w:numPr>
        <w:spacing w:before="120" w:after="120" w:line="288" w:lineRule="auto"/>
        <w:ind w:left="0"/>
        <w:jc w:val="left"/>
      </w:pPr>
      <w:r>
        <w:rPr>
          <w:rFonts w:eastAsia="等线" w:ascii="Arial" w:cs="Arial" w:hAnsi="Arial"/>
          <w:sz w:val="22"/>
        </w:rPr>
        <w:t>水处理设备运行记录</w:t>
      </w:r>
    </w:p>
    <w:p>
      <w:pPr>
        <w:spacing w:before="120" w:after="120" w:line="288" w:lineRule="auto"/>
        <w:ind w:left="0"/>
        <w:jc w:val="left"/>
      </w:pPr>
      <w:r>
        <w:rPr>
          <w:rFonts w:eastAsia="等线" w:ascii="Arial" w:cs="Arial" w:hAnsi="Arial"/>
          <w:b w:val="true"/>
          <w:sz w:val="22"/>
        </w:rPr>
        <w:t>检测单位（盖章）</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：2026年3月25日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026895">
    <w:lvl>
      <w:start w:val="1"/>
      <w:numFmt w:val="decimal"/>
      <w:suff w:val="tab"/>
      <w:lvlText w:val="%1."/>
      <w:rPr>
        <w:color w:val="3370ff"/>
      </w:rPr>
    </w:lvl>
  </w:abstractNum>
  <w:abstractNum w:abstractNumId="5026896">
    <w:lvl>
      <w:start w:val="2"/>
      <w:numFmt w:val="decimal"/>
      <w:suff w:val="tab"/>
      <w:lvlText w:val="%1."/>
      <w:rPr>
        <w:color w:val="3370ff"/>
      </w:rPr>
    </w:lvl>
  </w:abstractNum>
  <w:abstractNum w:abstractNumId="5026897">
    <w:lvl>
      <w:start w:val="3"/>
      <w:numFmt w:val="decimal"/>
      <w:suff w:val="tab"/>
      <w:lvlText w:val="%1."/>
      <w:rPr>
        <w:color w:val="3370ff"/>
      </w:rPr>
    </w:lvl>
  </w:abstractNum>
  <w:abstractNum w:abstractNumId="5026898">
    <w:lvl>
      <w:start w:val="4"/>
      <w:numFmt w:val="decimal"/>
      <w:suff w:val="tab"/>
      <w:lvlText w:val="%1."/>
      <w:rPr>
        <w:color w:val="3370ff"/>
      </w:rPr>
    </w:lvl>
  </w:abstractNum>
  <w:abstractNum w:abstractNumId="5026899">
    <w:lvl>
      <w:numFmt w:val="bullet"/>
      <w:suff w:val="tab"/>
      <w:lvlText w:val="•"/>
      <w:rPr>
        <w:color w:val="3370ff"/>
      </w:rPr>
    </w:lvl>
  </w:abstractNum>
  <w:abstractNum w:abstractNumId="5026900">
    <w:lvl>
      <w:numFmt w:val="bullet"/>
      <w:suff w:val="tab"/>
      <w:lvlText w:val="•"/>
      <w:rPr>
        <w:color w:val="3370ff"/>
      </w:rPr>
    </w:lvl>
  </w:abstractNum>
  <w:abstractNum w:abstractNumId="5026901">
    <w:lvl>
      <w:numFmt w:val="bullet"/>
      <w:suff w:val="tab"/>
      <w:lvlText w:val="•"/>
      <w:rPr>
        <w:color w:val="3370ff"/>
      </w:rPr>
    </w:lvl>
  </w:abstractNum>
  <w:abstractNum w:abstractNumId="5026902">
    <w:lvl>
      <w:numFmt w:val="bullet"/>
      <w:suff w:val="tab"/>
      <w:lvlText w:val="•"/>
      <w:rPr>
        <w:color w:val="3370ff"/>
      </w:rPr>
    </w:lvl>
  </w:abstractNum>
  <w:abstractNum w:abstractNumId="5026903">
    <w:lvl>
      <w:numFmt w:val="bullet"/>
      <w:suff w:val="tab"/>
      <w:lvlText w:val="•"/>
      <w:rPr>
        <w:color w:val="3370ff"/>
      </w:rPr>
    </w:lvl>
  </w:abstractNum>
  <w:abstractNum w:abstractNumId="5026904">
    <w:lvl>
      <w:numFmt w:val="bullet"/>
      <w:suff w:val="tab"/>
      <w:lvlText w:val="•"/>
      <w:rPr>
        <w:color w:val="3370ff"/>
      </w:rPr>
    </w:lvl>
  </w:abstractNum>
  <w:abstractNum w:abstractNumId="5026905">
    <w:lvl>
      <w:numFmt w:val="bullet"/>
      <w:suff w:val="tab"/>
      <w:lvlText w:val="•"/>
      <w:rPr>
        <w:color w:val="3370ff"/>
      </w:rPr>
    </w:lvl>
  </w:abstractNum>
  <w:abstractNum w:abstractNumId="5026906">
    <w:lvl>
      <w:numFmt w:val="bullet"/>
      <w:suff w:val="tab"/>
      <w:lvlText w:val="•"/>
      <w:rPr>
        <w:color w:val="3370ff"/>
      </w:rPr>
    </w:lvl>
  </w:abstractNum>
  <w:abstractNum w:abstractNumId="5026907">
    <w:lvl>
      <w:numFmt w:val="bullet"/>
      <w:suff w:val="tab"/>
      <w:lvlText w:val="•"/>
      <w:rPr>
        <w:color w:val="3370ff"/>
      </w:rPr>
    </w:lvl>
  </w:abstractNum>
  <w:abstractNum w:abstractNumId="5026908">
    <w:lvl>
      <w:start w:val="1"/>
      <w:numFmt w:val="decimal"/>
      <w:suff w:val="tab"/>
      <w:lvlText w:val="%1."/>
      <w:rPr>
        <w:color w:val="3370ff"/>
      </w:rPr>
    </w:lvl>
  </w:abstractNum>
  <w:abstractNum w:abstractNumId="5026909">
    <w:lvl>
      <w:start w:val="2"/>
      <w:numFmt w:val="decimal"/>
      <w:suff w:val="tab"/>
      <w:lvlText w:val="%1."/>
      <w:rPr>
        <w:color w:val="3370ff"/>
      </w:rPr>
    </w:lvl>
  </w:abstractNum>
  <w:abstractNum w:abstractNumId="5026910">
    <w:lvl>
      <w:start w:val="3"/>
      <w:numFmt w:val="decimal"/>
      <w:suff w:val="tab"/>
      <w:lvlText w:val="%1."/>
      <w:rPr>
        <w:color w:val="3370ff"/>
      </w:rPr>
    </w:lvl>
  </w:abstractNum>
  <w:abstractNum w:abstractNumId="5026911">
    <w:lvl>
      <w:start w:val="4"/>
      <w:numFmt w:val="decimal"/>
      <w:suff w:val="tab"/>
      <w:lvlText w:val="%1."/>
      <w:rPr>
        <w:color w:val="3370ff"/>
      </w:rPr>
    </w:lvl>
  </w:abstractNum>
  <w:num w:numId="1">
    <w:abstractNumId w:val="5026895"/>
  </w:num>
  <w:num w:numId="2">
    <w:abstractNumId w:val="5026896"/>
  </w:num>
  <w:num w:numId="3">
    <w:abstractNumId w:val="5026897"/>
  </w:num>
  <w:num w:numId="4">
    <w:abstractNumId w:val="5026898"/>
  </w:num>
  <w:num w:numId="5">
    <w:abstractNumId w:val="5026899"/>
  </w:num>
  <w:num w:numId="6">
    <w:abstractNumId w:val="5026900"/>
  </w:num>
  <w:num w:numId="7">
    <w:abstractNumId w:val="5026901"/>
  </w:num>
  <w:num w:numId="8">
    <w:abstractNumId w:val="5026902"/>
  </w:num>
  <w:num w:numId="9">
    <w:abstractNumId w:val="5026903"/>
  </w:num>
  <w:num w:numId="10">
    <w:abstractNumId w:val="5026904"/>
  </w:num>
  <w:num w:numId="11">
    <w:abstractNumId w:val="5026905"/>
  </w:num>
  <w:num w:numId="12">
    <w:abstractNumId w:val="5026906"/>
  </w:num>
  <w:num w:numId="13">
    <w:abstractNumId w:val="5026907"/>
  </w:num>
  <w:num w:numId="14">
    <w:abstractNumId w:val="5026908"/>
  </w:num>
  <w:num w:numId="15">
    <w:abstractNumId w:val="5026909"/>
  </w:num>
  <w:num w:numId="16">
    <w:abstractNumId w:val="5026910"/>
  </w:num>
  <w:num w:numId="17">
    <w:abstractNumId w:val="5026911"/>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2026-03-25T02:52:01Z</dcterms:created>
  <dc:creator>Apache POI</dc:creator>
</cp:coreProperties>
</file>