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室内空气污染物浓度检测报告</w:t>
      </w:r>
    </w:p>
    <w:p>
      <w:pPr>
        <w:spacing w:before="120" w:after="120" w:line="288" w:lineRule="auto"/>
        <w:ind w:left="0"/>
        <w:jc w:val="left"/>
      </w:pPr>
      <w:r>
        <w:rPr>
          <w:rFonts w:eastAsia="等线" w:ascii="Arial" w:cs="Arial" w:hAnsi="Arial"/>
          <w:b w:val="true"/>
          <w:sz w:val="22"/>
        </w:rPr>
        <w:t>项目名称</w:t>
      </w:r>
      <w:r>
        <w:rPr>
          <w:rFonts w:eastAsia="等线" w:ascii="Arial" w:cs="Arial" w:hAnsi="Arial"/>
          <w:sz w:val="22"/>
        </w:rPr>
        <w:t>：徽厅聚绿·天井承合——城市会客厅</w:t>
      </w:r>
    </w:p>
    <w:p>
      <w:pPr>
        <w:spacing w:before="120" w:after="120" w:line="288" w:lineRule="auto"/>
        <w:ind w:left="0"/>
        <w:jc w:val="left"/>
      </w:pPr>
      <w:r>
        <w:rPr>
          <w:rFonts w:eastAsia="等线" w:ascii="Arial" w:cs="Arial" w:hAnsi="Arial"/>
          <w:b w:val="true"/>
          <w:sz w:val="22"/>
        </w:rPr>
        <w:t>工程地点</w:t>
      </w:r>
      <w:r>
        <w:rPr>
          <w:rFonts w:eastAsia="等线" w:ascii="Arial" w:cs="Arial" w:hAnsi="Arial"/>
          <w:sz w:val="22"/>
        </w:rPr>
        <w:t>：安徽·合肥</w:t>
      </w:r>
    </w:p>
    <w:p>
      <w:pPr>
        <w:spacing w:before="120" w:after="120" w:line="288" w:lineRule="auto"/>
        <w:ind w:left="0"/>
        <w:jc w:val="left"/>
      </w:pPr>
      <w:r>
        <w:rPr>
          <w:rFonts w:eastAsia="等线" w:ascii="Arial" w:cs="Arial" w:hAnsi="Arial"/>
          <w:b w:val="true"/>
          <w:sz w:val="22"/>
        </w:rPr>
        <w:t>报告编号</w:t>
      </w:r>
      <w:r>
        <w:rPr>
          <w:rFonts w:eastAsia="等线" w:ascii="Arial" w:cs="Arial" w:hAnsi="Arial"/>
          <w:sz w:val="22"/>
        </w:rPr>
        <w:t>：AQ-2026-0324</w:t>
      </w:r>
    </w:p>
    <w:p>
      <w:pPr>
        <w:spacing w:before="120" w:after="120" w:line="288" w:lineRule="auto"/>
        <w:ind w:left="0"/>
        <w:jc w:val="left"/>
      </w:pPr>
      <w:r>
        <w:rPr>
          <w:rFonts w:eastAsia="等线" w:ascii="Arial" w:cs="Arial" w:hAnsi="Arial"/>
          <w:b w:val="true"/>
          <w:sz w:val="22"/>
        </w:rPr>
        <w:t>建设单位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检测单位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检测日期</w:t>
      </w:r>
      <w:r>
        <w:rPr>
          <w:rFonts w:eastAsia="等线" w:ascii="Arial" w:cs="Arial" w:hAnsi="Arial"/>
          <w:sz w:val="22"/>
        </w:rPr>
        <w:t>：2026年3月24日</w:t>
      </w:r>
    </w:p>
    <w:p>
      <w:pPr>
        <w:spacing w:before="120" w:after="120" w:line="288" w:lineRule="auto"/>
        <w:ind w:left="0"/>
        <w:jc w:val="left"/>
      </w:pPr>
      <w:r>
        <w:rPr>
          <w:rFonts w:eastAsia="等线" w:ascii="Arial" w:cs="Arial" w:hAnsi="Arial"/>
          <w:b w:val="true"/>
          <w:sz w:val="22"/>
        </w:rPr>
        <w:t>编制人</w:t>
      </w:r>
      <w:r>
        <w:rPr>
          <w:rFonts w:eastAsia="等线" w:ascii="Arial" w:cs="Arial" w:hAnsi="Arial"/>
          <w:sz w:val="22"/>
        </w:rPr>
        <w:t>：陈子琦</w:t>
      </w:r>
    </w:p>
    <w:p>
      <w:pPr>
        <w:spacing w:before="120" w:after="120" w:line="288" w:lineRule="auto"/>
        <w:ind w:left="0"/>
        <w:jc w:val="left"/>
      </w:pPr>
      <w:r>
        <w:rPr>
          <w:rFonts w:eastAsia="等线" w:ascii="Arial" w:cs="Arial" w:hAnsi="Arial"/>
          <w:b w:val="true"/>
          <w:sz w:val="22"/>
        </w:rPr>
        <w:t>审核人</w:t>
      </w:r>
      <w:r>
        <w:rPr>
          <w:rFonts w:eastAsia="等线" w:ascii="Arial" w:cs="Arial" w:hAnsi="Arial"/>
          <w:sz w:val="22"/>
        </w:rPr>
        <w:t>：许杰青</w:t>
      </w:r>
    </w:p>
    <w:p>
      <w:pPr>
        <w:spacing w:before="120" w:after="120" w:line="288" w:lineRule="auto"/>
        <w:ind w:left="0"/>
        <w:jc w:val="left"/>
      </w:pPr>
      <w:r>
        <w:rPr>
          <w:rFonts w:eastAsia="等线" w:ascii="Arial" w:cs="Arial" w:hAnsi="Arial"/>
          <w:b w:val="true"/>
          <w:sz w:val="22"/>
        </w:rPr>
        <w:t>审定人</w:t>
      </w:r>
      <w:r>
        <w:rPr>
          <w:rFonts w:eastAsia="等线" w:ascii="Arial" w:cs="Arial" w:hAnsi="Arial"/>
          <w:sz w:val="22"/>
        </w:rPr>
        <w:t>：陈萨如拉</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0" w:id="0"/>
      <w:r>
        <w:rPr>
          <w:rFonts w:eastAsia="等线" w:ascii="Arial" w:cs="Arial" w:hAnsi="Arial"/>
          <w:b w:val="true"/>
          <w:sz w:val="32"/>
        </w:rPr>
        <w:t>一、检测概况</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1.1 工程基本信息</w:t>
      </w:r>
      <w:bookmarkEnd w:id="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3000"/>
        <w:gridCol w:w="3000"/>
      </w:tblGrid>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内容</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建筑用途</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城市会客厅（公共建筑）</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建筑面积</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6899 ㎡</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建筑层数</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地上4层</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建筑高度</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 m</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检测范围</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展厅、办公区、会议室、走廊、接待区等主要功能房间</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检测依据</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《室内空气质量标准》GB/T 18883-2002&lt;br&gt;《民用建筑工程室内环境污染控制标准》GB 50325-2020&lt;br&gt;《公共建筑室内空气质量控制设计标准》JGJ/T 461-2019</w:t>
            </w:r>
          </w:p>
        </w:tc>
      </w:tr>
    </w:tbl>
    <w:p>
      <w:pPr>
        <w:pStyle w:val="3"/>
        <w:spacing w:before="300" w:after="120" w:line="288" w:lineRule="auto"/>
        <w:ind w:left="0"/>
        <w:jc w:val="left"/>
        <w:outlineLvl w:val="2"/>
      </w:pPr>
      <w:bookmarkStart w:name="heading_2" w:id="2"/>
      <w:r>
        <w:rPr>
          <w:rFonts w:eastAsia="等线" w:ascii="Arial" w:cs="Arial" w:hAnsi="Arial"/>
          <w:b w:val="true"/>
          <w:sz w:val="30"/>
        </w:rPr>
        <w:t>1.2 检测目的</w:t>
      </w:r>
      <w:bookmarkEnd w:id="2"/>
    </w:p>
    <w:p>
      <w:pPr>
        <w:spacing w:before="120" w:after="120" w:line="288" w:lineRule="auto"/>
        <w:ind w:left="0"/>
        <w:jc w:val="left"/>
      </w:pPr>
      <w:r>
        <w:rPr>
          <w:rFonts w:eastAsia="等线" w:ascii="Arial" w:cs="Arial" w:hAnsi="Arial"/>
          <w:sz w:val="22"/>
        </w:rPr>
        <w:t>验证本项目室内空气污染物浓度是否符合国家规范及绿色建筑评价标准要求，为绿色建筑星级申报提供数据支撑。</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3" w:id="3"/>
      <w:r>
        <w:rPr>
          <w:rFonts w:eastAsia="等线" w:ascii="Arial" w:cs="Arial" w:hAnsi="Arial"/>
          <w:b w:val="true"/>
          <w:sz w:val="32"/>
        </w:rPr>
        <w:t>二、检测内容与方法</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2.1 检测污染物种类</w:t>
      </w:r>
      <w:bookmarkEnd w:id="4"/>
    </w:p>
    <w:p>
      <w:pPr>
        <w:spacing w:before="120" w:after="120" w:line="288" w:lineRule="auto"/>
        <w:ind w:left="0"/>
        <w:jc w:val="left"/>
      </w:pPr>
      <w:r>
        <w:rPr>
          <w:rFonts w:eastAsia="等线" w:ascii="Arial" w:cs="Arial" w:hAnsi="Arial"/>
          <w:sz w:val="22"/>
        </w:rPr>
        <w:t>本次检测涵盖以下主要室内空气污染物：</w:t>
      </w:r>
    </w:p>
    <w:p>
      <w:pPr>
        <w:numPr>
          <w:numId w:val="1"/>
        </w:numPr>
        <w:spacing w:before="120" w:after="120" w:line="288" w:lineRule="auto"/>
        <w:ind w:left="0"/>
        <w:jc w:val="left"/>
      </w:pPr>
      <w:r>
        <w:rPr>
          <w:rFonts w:eastAsia="等线" w:ascii="Arial" w:cs="Arial" w:hAnsi="Arial"/>
          <w:sz w:val="22"/>
        </w:rPr>
        <w:t>可吸入颗粒物（PM₂.₅、PM₁₀）</w:t>
      </w:r>
    </w:p>
    <w:p>
      <w:pPr>
        <w:numPr>
          <w:numId w:val="2"/>
        </w:numPr>
        <w:spacing w:before="120" w:after="120" w:line="288" w:lineRule="auto"/>
        <w:ind w:left="0"/>
        <w:jc w:val="left"/>
      </w:pPr>
      <w:r>
        <w:rPr>
          <w:rFonts w:eastAsia="等线" w:ascii="Arial" w:cs="Arial" w:hAnsi="Arial"/>
          <w:sz w:val="22"/>
        </w:rPr>
        <w:t>甲醛（HCHO）</w:t>
      </w:r>
    </w:p>
    <w:p>
      <w:pPr>
        <w:numPr>
          <w:numId w:val="3"/>
        </w:numPr>
        <w:spacing w:before="120" w:after="120" w:line="288" w:lineRule="auto"/>
        <w:ind w:left="0"/>
        <w:jc w:val="left"/>
      </w:pPr>
      <w:r>
        <w:rPr>
          <w:rFonts w:eastAsia="等线" w:ascii="Arial" w:cs="Arial" w:hAnsi="Arial"/>
          <w:sz w:val="22"/>
        </w:rPr>
        <w:t>总挥发性有机物（TVOC）</w:t>
      </w:r>
    </w:p>
    <w:p>
      <w:pPr>
        <w:numPr>
          <w:numId w:val="4"/>
        </w:numPr>
        <w:spacing w:before="120" w:after="120" w:line="288" w:lineRule="auto"/>
        <w:ind w:left="0"/>
        <w:jc w:val="left"/>
      </w:pPr>
      <w:r>
        <w:rPr>
          <w:rFonts w:eastAsia="等线" w:ascii="Arial" w:cs="Arial" w:hAnsi="Arial"/>
          <w:sz w:val="22"/>
        </w:rPr>
        <w:t>苯（C₆H₆）、甲苯（C₇H₈）、二甲苯（C₈H₁₀）</w:t>
      </w:r>
    </w:p>
    <w:p>
      <w:pPr>
        <w:numPr>
          <w:numId w:val="5"/>
        </w:numPr>
        <w:spacing w:before="120" w:after="120" w:line="288" w:lineRule="auto"/>
        <w:ind w:left="0"/>
        <w:jc w:val="left"/>
      </w:pPr>
      <w:r>
        <w:rPr>
          <w:rFonts w:eastAsia="等线" w:ascii="Arial" w:cs="Arial" w:hAnsi="Arial"/>
          <w:sz w:val="22"/>
        </w:rPr>
        <w:t>氨（NH₃）</w:t>
      </w:r>
    </w:p>
    <w:p>
      <w:pPr>
        <w:numPr>
          <w:numId w:val="6"/>
        </w:numPr>
        <w:spacing w:before="120" w:after="120" w:line="288" w:lineRule="auto"/>
        <w:ind w:left="0"/>
        <w:jc w:val="left"/>
      </w:pPr>
      <w:r>
        <w:rPr>
          <w:rFonts w:eastAsia="等线" w:ascii="Arial" w:cs="Arial" w:hAnsi="Arial"/>
          <w:sz w:val="22"/>
        </w:rPr>
        <w:t>二氧化碳（CO₂）</w:t>
      </w:r>
    </w:p>
    <w:p>
      <w:pPr>
        <w:pStyle w:val="3"/>
        <w:spacing w:before="300" w:after="120" w:line="288" w:lineRule="auto"/>
        <w:ind w:left="0"/>
        <w:jc w:val="left"/>
        <w:outlineLvl w:val="2"/>
      </w:pPr>
      <w:bookmarkStart w:name="heading_5" w:id="5"/>
      <w:r>
        <w:rPr>
          <w:rFonts w:eastAsia="等线" w:ascii="Arial" w:cs="Arial" w:hAnsi="Arial"/>
          <w:b w:val="true"/>
          <w:sz w:val="30"/>
        </w:rPr>
        <w:t>2.2 检测方法与仪器</w:t>
      </w:r>
      <w:bookmarkEnd w:id="5"/>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污染物</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检测方法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检测仪器</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仪器编号</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PM₂.₅/PM₁₀</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光散射法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激光粉尘仪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AQ-001</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酚试剂分光光度法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分光光度计</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AQ-002</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TVOC</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气相色谱法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气相色谱仪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AQ-003</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苯系物</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气相色谱法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气相色谱仪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AQ-003</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氨</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纳氏试剂分光光度法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分光光度计</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AQ-002</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CO₂</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非分散红外法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红外气体分析仪</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AQ-004</w:t>
            </w:r>
          </w:p>
        </w:tc>
      </w:tr>
    </w:tbl>
    <w:p>
      <w:pPr>
        <w:pStyle w:val="3"/>
        <w:spacing w:before="300" w:after="120" w:line="288" w:lineRule="auto"/>
        <w:ind w:left="0"/>
        <w:jc w:val="left"/>
        <w:outlineLvl w:val="2"/>
      </w:pPr>
      <w:bookmarkStart w:name="heading_6" w:id="6"/>
      <w:r>
        <w:rPr>
          <w:rFonts w:eastAsia="等线" w:ascii="Arial" w:cs="Arial" w:hAnsi="Arial"/>
          <w:b w:val="true"/>
          <w:sz w:val="30"/>
        </w:rPr>
        <w:t>2.3 检测点布置</w:t>
      </w:r>
      <w:bookmarkEnd w:id="6"/>
    </w:p>
    <w:p>
      <w:pPr>
        <w:numPr>
          <w:numId w:val="7"/>
        </w:numPr>
        <w:spacing w:before="120" w:after="120" w:line="288" w:lineRule="auto"/>
        <w:ind w:left="0"/>
        <w:jc w:val="left"/>
      </w:pPr>
      <w:r>
        <w:rPr>
          <w:rFonts w:eastAsia="等线" w:ascii="Arial" w:cs="Arial" w:hAnsi="Arial"/>
          <w:sz w:val="22"/>
        </w:rPr>
        <w:t>按《室内空气质量标准》要求，每50㎡布置1个检测点，共设置</w:t>
      </w:r>
      <w:r>
        <w:rPr>
          <w:rFonts w:eastAsia="等线" w:ascii="Arial" w:cs="Arial" w:hAnsi="Arial"/>
          <w:b w:val="true"/>
          <w:sz w:val="22"/>
        </w:rPr>
        <w:t>32个检测点</w:t>
      </w:r>
      <w:r>
        <w:rPr>
          <w:rFonts w:eastAsia="等线" w:ascii="Arial" w:cs="Arial" w:hAnsi="Arial"/>
          <w:sz w:val="22"/>
        </w:rPr>
        <w:t>，覆盖各楼层主要功能房间。</w:t>
      </w:r>
    </w:p>
    <w:p>
      <w:pPr>
        <w:numPr>
          <w:numId w:val="8"/>
        </w:numPr>
        <w:spacing w:before="120" w:after="120" w:line="288" w:lineRule="auto"/>
        <w:ind w:left="0"/>
        <w:jc w:val="left"/>
      </w:pPr>
      <w:r>
        <w:rPr>
          <w:rFonts w:eastAsia="等线" w:ascii="Arial" w:cs="Arial" w:hAnsi="Arial"/>
          <w:sz w:val="22"/>
        </w:rPr>
        <w:t>检测点高度为0.8~1.5m（人体呼吸带高度），避开通风口、污染源等位置。</w:t>
      </w:r>
    </w:p>
    <w:p>
      <w:pPr>
        <w:numPr>
          <w:numId w:val="9"/>
        </w:numPr>
        <w:spacing w:before="120" w:after="120" w:line="288" w:lineRule="auto"/>
        <w:ind w:left="0"/>
        <w:jc w:val="left"/>
      </w:pPr>
      <w:r>
        <w:rPr>
          <w:rFonts w:eastAsia="等线" w:ascii="Arial" w:cs="Arial" w:hAnsi="Arial"/>
          <w:sz w:val="22"/>
        </w:rPr>
        <w:t>检测前关闭门窗12h，确保室内空气稳定。</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7" w:id="7"/>
      <w:r>
        <w:rPr>
          <w:rFonts w:eastAsia="等线" w:ascii="Arial" w:cs="Arial" w:hAnsi="Arial"/>
          <w:b w:val="true"/>
          <w:sz w:val="32"/>
        </w:rPr>
        <w:t>三、检测结果</w:t>
      </w:r>
      <w:bookmarkEnd w:id="7"/>
    </w:p>
    <w:p>
      <w:pPr>
        <w:pStyle w:val="3"/>
        <w:spacing w:before="300" w:after="120" w:line="288" w:lineRule="auto"/>
        <w:ind w:left="0"/>
        <w:jc w:val="left"/>
        <w:outlineLvl w:val="2"/>
      </w:pPr>
      <w:bookmarkStart w:name="heading_8" w:id="8"/>
      <w:r>
        <w:rPr>
          <w:rFonts w:eastAsia="等线" w:ascii="Arial" w:cs="Arial" w:hAnsi="Arial"/>
          <w:b w:val="true"/>
          <w:sz w:val="30"/>
        </w:rPr>
        <w:t>3.1 各污染物浓度检测结果</w:t>
      </w:r>
      <w:bookmarkEnd w:id="8"/>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690"/>
        <w:gridCol w:w="690"/>
        <w:gridCol w:w="690"/>
        <w:gridCol w:w="690"/>
        <w:gridCol w:w="690"/>
        <w:gridCol w:w="690"/>
        <w:gridCol w:w="690"/>
        <w:gridCol w:w="690"/>
        <w:gridCol w:w="690"/>
        <w:gridCol w:w="690"/>
        <w:gridCol w:w="690"/>
        <w:gridCol w:w="690"/>
      </w:tblGrid>
      <w:tr>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楼层</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房间类型</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检测点数</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PM₂.₅(μg/m³)</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PM₁₀(μg/m³)</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甲醛(mg/m³)</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TVOC(mg/m³)</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苯(mg/m³)</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甲苯(mg/m³)</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二甲苯(mg/m³)</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氨(mg/m³)</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CO₂(‰)</w:t>
            </w:r>
          </w:p>
        </w:tc>
      </w:tr>
      <w:tr>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1F</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展厅</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0.18</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0.04</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0.08</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0.42</w:t>
            </w:r>
          </w:p>
        </w:tc>
      </w:tr>
      <w:tr>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1F</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走廊</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0.17</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0.04</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0.07</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0.41</w:t>
            </w:r>
          </w:p>
        </w:tc>
      </w:tr>
      <w:tr>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2F</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1.9</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0.16</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0.07</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0.40</w:t>
            </w:r>
          </w:p>
        </w:tc>
      </w:tr>
      <w:tr>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2F</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会议室</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0.17</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0.08</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0.42</w:t>
            </w:r>
          </w:p>
        </w:tc>
      </w:tr>
      <w:tr>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3F</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0.16</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0.07</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0.40</w:t>
            </w:r>
          </w:p>
        </w:tc>
      </w:tr>
      <w:tr>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4F</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接待区</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0.17</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0.04</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0.08</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0.41</w:t>
            </w:r>
          </w:p>
        </w:tc>
      </w:tr>
      <w:tr>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平均值</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1.1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2.0</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0.02</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0.17</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0.01</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0.03</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0.07</w:t>
            </w:r>
          </w:p>
        </w:tc>
        <w:tc>
          <w:tcPr>
            <w:tcW w:w="690" w:type="dxa"/>
            <w:tcMar>
              <w:top w:type="dxa" w:w="60"/>
              <w:left w:type="dxa" w:w="120"/>
              <w:bottom w:type="dxa" w:w="30"/>
              <w:right w:type="dxa" w:w="120"/>
            </w:tcMar>
          </w:tcPr>
          <w:p>
            <w:pPr>
              <w:spacing w:before="120" w:after="120" w:line="288" w:lineRule="auto"/>
              <w:ind w:left="0"/>
              <w:jc w:val="left"/>
            </w:pPr>
            <w:r>
              <w:rPr>
                <w:rFonts w:eastAsia="等线" w:ascii="Arial" w:cs="Arial" w:hAnsi="Arial"/>
                <w:b w:val="true"/>
                <w:sz w:val="22"/>
              </w:rPr>
              <w:t>0.41</w:t>
            </w:r>
          </w:p>
        </w:tc>
      </w:tr>
    </w:tbl>
    <w:p>
      <w:pPr>
        <w:pStyle w:val="3"/>
        <w:spacing w:before="300" w:after="120" w:line="288" w:lineRule="auto"/>
        <w:ind w:left="0"/>
        <w:jc w:val="left"/>
        <w:outlineLvl w:val="2"/>
      </w:pPr>
      <w:bookmarkStart w:name="heading_9" w:id="9"/>
      <w:r>
        <w:rPr>
          <w:rFonts w:eastAsia="等线" w:ascii="Arial" w:cs="Arial" w:hAnsi="Arial"/>
          <w:b w:val="true"/>
          <w:sz w:val="30"/>
        </w:rPr>
        <w:t>3.2 规范限值对比</w:t>
      </w:r>
      <w:bookmarkEnd w:id="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50"/>
        <w:gridCol w:w="1650"/>
        <w:gridCol w:w="1650"/>
        <w:gridCol w:w="1650"/>
        <w:gridCol w:w="1650"/>
      </w:tblGrid>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污染物</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本项目平均值</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GB/T 18883-2002限值</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50325-2020限值</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PM₂.₅</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 μg/m³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75 μg/m³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 μg/m³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PM₁₀</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 μg/m³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150 μg/m³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70 μg/m³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甲醛</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0.02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0.10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0.07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TVOC</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0.17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0.60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0.45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苯</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0.11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甲苯</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0.20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0.15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二甲苯</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0.03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0.20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0.20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氨</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0.07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0.20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0.15 mg/m³</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CO₂</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0.41 ‰</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1.0 ‰</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bl>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0" w:id="10"/>
      <w:r>
        <w:rPr>
          <w:rFonts w:eastAsia="等线" w:ascii="Arial" w:cs="Arial" w:hAnsi="Arial"/>
          <w:b w:val="true"/>
          <w:sz w:val="32"/>
        </w:rPr>
        <w:t>四、结果分析与评价</w:t>
      </w:r>
      <w:bookmarkEnd w:id="10"/>
    </w:p>
    <w:p>
      <w:pPr>
        <w:pStyle w:val="3"/>
        <w:spacing w:before="300" w:after="120" w:line="288" w:lineRule="auto"/>
        <w:ind w:left="0"/>
        <w:jc w:val="left"/>
        <w:outlineLvl w:val="2"/>
      </w:pPr>
      <w:bookmarkStart w:name="heading_11" w:id="11"/>
      <w:r>
        <w:rPr>
          <w:rFonts w:eastAsia="等线" w:ascii="Arial" w:cs="Arial" w:hAnsi="Arial"/>
          <w:b w:val="true"/>
          <w:sz w:val="30"/>
        </w:rPr>
        <w:t>4.1 污染物浓度分析</w:t>
      </w:r>
      <w:bookmarkEnd w:id="11"/>
    </w:p>
    <w:p>
      <w:pPr>
        <w:numPr>
          <w:numId w:val="10"/>
        </w:numPr>
        <w:spacing w:before="120" w:after="120" w:line="288" w:lineRule="auto"/>
        <w:ind w:left="0"/>
        <w:jc w:val="left"/>
      </w:pPr>
      <w:r>
        <w:rPr>
          <w:rFonts w:eastAsia="等线" w:ascii="Arial" w:cs="Arial" w:hAnsi="Arial"/>
          <w:b w:val="true"/>
          <w:sz w:val="22"/>
        </w:rPr>
        <w:t>颗粒物</w:t>
      </w:r>
      <w:r>
        <w:rPr>
          <w:rFonts w:eastAsia="等线" w:ascii="Arial" w:cs="Arial" w:hAnsi="Arial"/>
          <w:sz w:val="22"/>
        </w:rPr>
        <w:t>：PM₂.₅、PM₁₀浓度远低于规范限值，主要得益于高效新风净化系统（净化效率90%）与自然通风设计。</w:t>
      </w:r>
    </w:p>
    <w:p>
      <w:pPr>
        <w:numPr>
          <w:numId w:val="11"/>
        </w:numPr>
        <w:spacing w:before="120" w:after="120" w:line="288" w:lineRule="auto"/>
        <w:ind w:left="0"/>
        <w:jc w:val="left"/>
      </w:pPr>
      <w:r>
        <w:rPr>
          <w:rFonts w:eastAsia="等线" w:ascii="Arial" w:cs="Arial" w:hAnsi="Arial"/>
          <w:b w:val="true"/>
          <w:sz w:val="22"/>
        </w:rPr>
        <w:t>甲醛与TVOC</w:t>
      </w:r>
      <w:r>
        <w:rPr>
          <w:rFonts w:eastAsia="等线" w:ascii="Arial" w:cs="Arial" w:hAnsi="Arial"/>
          <w:sz w:val="22"/>
        </w:rPr>
        <w:t>：浓度仅为规范限值的20%~30%，源于本项目严格选用低VOC环保装饰材料，且施工后充分通风。</w:t>
      </w:r>
    </w:p>
    <w:p>
      <w:pPr>
        <w:numPr>
          <w:numId w:val="12"/>
        </w:numPr>
        <w:spacing w:before="120" w:after="120" w:line="288" w:lineRule="auto"/>
        <w:ind w:left="0"/>
        <w:jc w:val="left"/>
      </w:pPr>
      <w:r>
        <w:rPr>
          <w:rFonts w:eastAsia="等线" w:ascii="Arial" w:cs="Arial" w:hAnsi="Arial"/>
          <w:b w:val="true"/>
          <w:sz w:val="22"/>
        </w:rPr>
        <w:t>苯系物与氨</w:t>
      </w:r>
      <w:r>
        <w:rPr>
          <w:rFonts w:eastAsia="等线" w:ascii="Arial" w:cs="Arial" w:hAnsi="Arial"/>
          <w:sz w:val="22"/>
        </w:rPr>
        <w:t>：浓度极低，符合环保材料选型要求，无明显污染源。</w:t>
      </w:r>
    </w:p>
    <w:p>
      <w:pPr>
        <w:numPr>
          <w:numId w:val="13"/>
        </w:numPr>
        <w:spacing w:before="120" w:after="120" w:line="288" w:lineRule="auto"/>
        <w:ind w:left="0"/>
        <w:jc w:val="left"/>
      </w:pPr>
      <w:r>
        <w:rPr>
          <w:rFonts w:eastAsia="等线" w:ascii="Arial" w:cs="Arial" w:hAnsi="Arial"/>
          <w:b w:val="true"/>
          <w:sz w:val="22"/>
        </w:rPr>
        <w:t>CO₂</w:t>
      </w:r>
      <w:r>
        <w:rPr>
          <w:rFonts w:eastAsia="等线" w:ascii="Arial" w:cs="Arial" w:hAnsi="Arial"/>
          <w:sz w:val="22"/>
        </w:rPr>
        <w:t>：浓度稳定在0.4‰左右，满足新风量≥30m³/(h·人)的设计要求，室内空气流通良好。</w:t>
      </w:r>
    </w:p>
    <w:p>
      <w:pPr>
        <w:pStyle w:val="3"/>
        <w:spacing w:before="300" w:after="120" w:line="288" w:lineRule="auto"/>
        <w:ind w:left="0"/>
        <w:jc w:val="left"/>
        <w:outlineLvl w:val="2"/>
      </w:pPr>
      <w:bookmarkStart w:name="heading_12" w:id="12"/>
      <w:r>
        <w:rPr>
          <w:rFonts w:eastAsia="等线" w:ascii="Arial" w:cs="Arial" w:hAnsi="Arial"/>
          <w:b w:val="true"/>
          <w:sz w:val="30"/>
        </w:rPr>
        <w:t>4.2 绿色建筑评价符合性</w:t>
      </w:r>
      <w:bookmarkEnd w:id="12"/>
    </w:p>
    <w:p>
      <w:pPr>
        <w:numPr>
          <w:numId w:val="14"/>
        </w:numPr>
        <w:spacing w:before="120" w:after="120" w:line="288" w:lineRule="auto"/>
        <w:ind w:left="0"/>
        <w:jc w:val="left"/>
      </w:pPr>
      <w:r>
        <w:rPr>
          <w:rFonts w:eastAsia="等线" w:ascii="Arial" w:cs="Arial" w:hAnsi="Arial"/>
          <w:sz w:val="22"/>
        </w:rPr>
        <w:t>符合《绿色建筑评价标准》GB/T 50378-2019评分项5.2.1要求：</w:t>
      </w:r>
      <w:r>
        <w:rPr>
          <w:rFonts w:eastAsia="等线" w:ascii="Arial" w:cs="Arial" w:hAnsi="Arial"/>
          <w:b w:val="true"/>
          <w:sz w:val="22"/>
        </w:rPr>
        <w:t>PM₂.₅年均浓度≤25μg/m³、PM₁₀≤50μg/m³</w:t>
      </w:r>
      <w:r>
        <w:rPr>
          <w:rFonts w:eastAsia="等线" w:ascii="Arial" w:cs="Arial" w:hAnsi="Arial"/>
          <w:sz w:val="22"/>
        </w:rPr>
        <w:t>，可获得6分。</w:t>
      </w:r>
    </w:p>
    <w:p>
      <w:pPr>
        <w:numPr>
          <w:numId w:val="15"/>
        </w:numPr>
        <w:spacing w:before="120" w:after="120" w:line="288" w:lineRule="auto"/>
        <w:ind w:left="0"/>
        <w:jc w:val="left"/>
      </w:pPr>
      <w:r>
        <w:rPr>
          <w:rFonts w:eastAsia="等线" w:ascii="Arial" w:cs="Arial" w:hAnsi="Arial"/>
          <w:sz w:val="22"/>
        </w:rPr>
        <w:t>符合技术要求3.2.8：PM₁₀浓度较常规建筑降低约96.7%，满足三星级“降低20%”的要求。</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3" w:id="13"/>
      <w:r>
        <w:rPr>
          <w:rFonts w:eastAsia="等线" w:ascii="Arial" w:cs="Arial" w:hAnsi="Arial"/>
          <w:b w:val="true"/>
          <w:sz w:val="32"/>
        </w:rPr>
        <w:t>五、结论</w:t>
      </w:r>
      <w:bookmarkEnd w:id="13"/>
    </w:p>
    <w:p>
      <w:pPr>
        <w:spacing w:before="120" w:after="120" w:line="288" w:lineRule="auto"/>
        <w:ind w:left="0"/>
        <w:jc w:val="left"/>
      </w:pPr>
      <w:r>
        <w:rPr>
          <w:rFonts w:eastAsia="等线" w:ascii="Arial" w:cs="Arial" w:hAnsi="Arial"/>
          <w:sz w:val="22"/>
        </w:rPr>
        <w:t>本项目室内空气污染物浓度</w:t>
      </w:r>
      <w:r>
        <w:rPr>
          <w:rFonts w:eastAsia="等线" w:ascii="Arial" w:cs="Arial" w:hAnsi="Arial"/>
          <w:b w:val="true"/>
          <w:sz w:val="22"/>
        </w:rPr>
        <w:t>全部远低于国家规范限值</w:t>
      </w:r>
      <w:r>
        <w:rPr>
          <w:rFonts w:eastAsia="等线" w:ascii="Arial" w:cs="Arial" w:hAnsi="Arial"/>
          <w:sz w:val="22"/>
        </w:rPr>
        <w:t>，各项指标均满足《室内空气质量标准》《民用建筑工程室内环境污染控制标准》及绿色建筑高星级评价要求，室内空气质量优良，可安全投入使用。</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4" w:id="14"/>
      <w:r>
        <w:rPr>
          <w:rFonts w:eastAsia="等线" w:ascii="Arial" w:cs="Arial" w:hAnsi="Arial"/>
          <w:b w:val="true"/>
          <w:sz w:val="32"/>
        </w:rPr>
        <w:t>六、附件</w:t>
      </w:r>
      <w:bookmarkEnd w:id="14"/>
    </w:p>
    <w:p>
      <w:pPr>
        <w:numPr>
          <w:numId w:val="16"/>
        </w:numPr>
        <w:spacing w:before="120" w:after="120" w:line="288" w:lineRule="auto"/>
        <w:ind w:left="0"/>
        <w:jc w:val="left"/>
      </w:pPr>
      <w:r>
        <w:rPr>
          <w:rFonts w:eastAsia="等线" w:ascii="Arial" w:cs="Arial" w:hAnsi="Arial"/>
          <w:sz w:val="22"/>
        </w:rPr>
        <w:t>检测点布置图</w:t>
      </w:r>
    </w:p>
    <w:p>
      <w:pPr>
        <w:numPr>
          <w:numId w:val="17"/>
        </w:numPr>
        <w:spacing w:before="120" w:after="120" w:line="288" w:lineRule="auto"/>
        <w:ind w:left="0"/>
        <w:jc w:val="left"/>
      </w:pPr>
      <w:r>
        <w:rPr>
          <w:rFonts w:eastAsia="等线" w:ascii="Arial" w:cs="Arial" w:hAnsi="Arial"/>
          <w:sz w:val="22"/>
        </w:rPr>
        <w:t>检测仪器校准证书</w:t>
      </w:r>
    </w:p>
    <w:p>
      <w:pPr>
        <w:numPr>
          <w:numId w:val="18"/>
        </w:numPr>
        <w:spacing w:before="120" w:after="120" w:line="288" w:lineRule="auto"/>
        <w:ind w:left="0"/>
        <w:jc w:val="left"/>
      </w:pPr>
      <w:r>
        <w:rPr>
          <w:rFonts w:eastAsia="等线" w:ascii="Arial" w:cs="Arial" w:hAnsi="Arial"/>
          <w:sz w:val="22"/>
        </w:rPr>
        <w:t>原始检测数据记录表</w:t>
      </w:r>
    </w:p>
    <w:p>
      <w:pPr>
        <w:numPr>
          <w:numId w:val="19"/>
        </w:numPr>
        <w:spacing w:before="120" w:after="120" w:line="288" w:lineRule="auto"/>
        <w:ind w:left="0"/>
        <w:jc w:val="left"/>
      </w:pPr>
      <w:r>
        <w:rPr>
          <w:rFonts w:eastAsia="等线" w:ascii="Arial" w:cs="Arial" w:hAnsi="Arial"/>
          <w:sz w:val="22"/>
        </w:rPr>
        <w:t>环保材料检测报告</w:t>
      </w:r>
    </w:p>
    <w:p>
      <w:pPr>
        <w:spacing w:before="120" w:after="120" w:line="288" w:lineRule="auto"/>
        <w:ind w:left="0"/>
        <w:jc w:val="left"/>
      </w:pPr>
      <w:r>
        <w:rPr>
          <w:rFonts w:eastAsia="等线" w:ascii="Arial" w:cs="Arial" w:hAnsi="Arial"/>
          <w:b w:val="true"/>
          <w:sz w:val="22"/>
        </w:rPr>
        <w:t>检测单位（盖章）</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日期</w:t>
      </w:r>
      <w:r>
        <w:rPr>
          <w:rFonts w:eastAsia="等线" w:ascii="Arial" w:cs="Arial" w:hAnsi="Arial"/>
          <w:sz w:val="22"/>
        </w:rPr>
        <w:t>：2026年3月24日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9298483">
    <w:lvl>
      <w:start w:val="1"/>
      <w:numFmt w:val="decimal"/>
      <w:suff w:val="tab"/>
      <w:lvlText w:val="%1."/>
      <w:rPr>
        <w:color w:val="3370ff"/>
      </w:rPr>
    </w:lvl>
  </w:abstractNum>
  <w:abstractNum w:abstractNumId="9298484">
    <w:lvl>
      <w:start w:val="2"/>
      <w:numFmt w:val="decimal"/>
      <w:suff w:val="tab"/>
      <w:lvlText w:val="%1."/>
      <w:rPr>
        <w:color w:val="3370ff"/>
      </w:rPr>
    </w:lvl>
  </w:abstractNum>
  <w:abstractNum w:abstractNumId="9298485">
    <w:lvl>
      <w:start w:val="3"/>
      <w:numFmt w:val="decimal"/>
      <w:suff w:val="tab"/>
      <w:lvlText w:val="%1."/>
      <w:rPr>
        <w:color w:val="3370ff"/>
      </w:rPr>
    </w:lvl>
  </w:abstractNum>
  <w:abstractNum w:abstractNumId="9298486">
    <w:lvl>
      <w:start w:val="4"/>
      <w:numFmt w:val="decimal"/>
      <w:suff w:val="tab"/>
      <w:lvlText w:val="%1."/>
      <w:rPr>
        <w:color w:val="3370ff"/>
      </w:rPr>
    </w:lvl>
  </w:abstractNum>
  <w:abstractNum w:abstractNumId="9298487">
    <w:lvl>
      <w:start w:val="5"/>
      <w:numFmt w:val="decimal"/>
      <w:suff w:val="tab"/>
      <w:lvlText w:val="%1."/>
      <w:rPr>
        <w:color w:val="3370ff"/>
      </w:rPr>
    </w:lvl>
  </w:abstractNum>
  <w:abstractNum w:abstractNumId="9298488">
    <w:lvl>
      <w:start w:val="6"/>
      <w:numFmt w:val="decimal"/>
      <w:suff w:val="tab"/>
      <w:lvlText w:val="%1."/>
      <w:rPr>
        <w:color w:val="3370ff"/>
      </w:rPr>
    </w:lvl>
  </w:abstractNum>
  <w:abstractNum w:abstractNumId="9298489">
    <w:lvl>
      <w:numFmt w:val="bullet"/>
      <w:suff w:val="tab"/>
      <w:lvlText w:val="•"/>
      <w:rPr>
        <w:color w:val="3370ff"/>
      </w:rPr>
    </w:lvl>
  </w:abstractNum>
  <w:abstractNum w:abstractNumId="9298490">
    <w:lvl>
      <w:numFmt w:val="bullet"/>
      <w:suff w:val="tab"/>
      <w:lvlText w:val="•"/>
      <w:rPr>
        <w:color w:val="3370ff"/>
      </w:rPr>
    </w:lvl>
  </w:abstractNum>
  <w:abstractNum w:abstractNumId="9298491">
    <w:lvl>
      <w:numFmt w:val="bullet"/>
      <w:suff w:val="tab"/>
      <w:lvlText w:val="•"/>
      <w:rPr>
        <w:color w:val="3370ff"/>
      </w:rPr>
    </w:lvl>
  </w:abstractNum>
  <w:abstractNum w:abstractNumId="9298492">
    <w:lvl>
      <w:start w:val="1"/>
      <w:numFmt w:val="decimal"/>
      <w:suff w:val="tab"/>
      <w:lvlText w:val="%1."/>
      <w:rPr>
        <w:color w:val="3370ff"/>
      </w:rPr>
    </w:lvl>
  </w:abstractNum>
  <w:abstractNum w:abstractNumId="9298493">
    <w:lvl>
      <w:start w:val="2"/>
      <w:numFmt w:val="decimal"/>
      <w:suff w:val="tab"/>
      <w:lvlText w:val="%1."/>
      <w:rPr>
        <w:color w:val="3370ff"/>
      </w:rPr>
    </w:lvl>
  </w:abstractNum>
  <w:abstractNum w:abstractNumId="9298494">
    <w:lvl>
      <w:start w:val="3"/>
      <w:numFmt w:val="decimal"/>
      <w:suff w:val="tab"/>
      <w:lvlText w:val="%1."/>
      <w:rPr>
        <w:color w:val="3370ff"/>
      </w:rPr>
    </w:lvl>
  </w:abstractNum>
  <w:abstractNum w:abstractNumId="9298495">
    <w:lvl>
      <w:start w:val="4"/>
      <w:numFmt w:val="decimal"/>
      <w:suff w:val="tab"/>
      <w:lvlText w:val="%1."/>
      <w:rPr>
        <w:color w:val="3370ff"/>
      </w:rPr>
    </w:lvl>
  </w:abstractNum>
  <w:abstractNum w:abstractNumId="9298496">
    <w:lvl>
      <w:numFmt w:val="bullet"/>
      <w:suff w:val="tab"/>
      <w:lvlText w:val="•"/>
      <w:rPr>
        <w:color w:val="3370ff"/>
      </w:rPr>
    </w:lvl>
  </w:abstractNum>
  <w:abstractNum w:abstractNumId="9298497">
    <w:lvl>
      <w:numFmt w:val="bullet"/>
      <w:suff w:val="tab"/>
      <w:lvlText w:val="•"/>
      <w:rPr>
        <w:color w:val="3370ff"/>
      </w:rPr>
    </w:lvl>
  </w:abstractNum>
  <w:abstractNum w:abstractNumId="9298498">
    <w:lvl>
      <w:start w:val="1"/>
      <w:numFmt w:val="decimal"/>
      <w:suff w:val="tab"/>
      <w:lvlText w:val="%1."/>
      <w:rPr>
        <w:color w:val="3370ff"/>
      </w:rPr>
    </w:lvl>
  </w:abstractNum>
  <w:abstractNum w:abstractNumId="9298499">
    <w:lvl>
      <w:start w:val="2"/>
      <w:numFmt w:val="decimal"/>
      <w:suff w:val="tab"/>
      <w:lvlText w:val="%1."/>
      <w:rPr>
        <w:color w:val="3370ff"/>
      </w:rPr>
    </w:lvl>
  </w:abstractNum>
  <w:abstractNum w:abstractNumId="9298500">
    <w:lvl>
      <w:start w:val="3"/>
      <w:numFmt w:val="decimal"/>
      <w:suff w:val="tab"/>
      <w:lvlText w:val="%1."/>
      <w:rPr>
        <w:color w:val="3370ff"/>
      </w:rPr>
    </w:lvl>
  </w:abstractNum>
  <w:abstractNum w:abstractNumId="9298501">
    <w:lvl>
      <w:start w:val="4"/>
      <w:numFmt w:val="decimal"/>
      <w:suff w:val="tab"/>
      <w:lvlText w:val="%1."/>
      <w:rPr>
        <w:color w:val="3370ff"/>
      </w:rPr>
    </w:lvl>
  </w:abstractNum>
  <w:num w:numId="1">
    <w:abstractNumId w:val="9298483"/>
  </w:num>
  <w:num w:numId="2">
    <w:abstractNumId w:val="9298484"/>
  </w:num>
  <w:num w:numId="3">
    <w:abstractNumId w:val="9298485"/>
  </w:num>
  <w:num w:numId="4">
    <w:abstractNumId w:val="9298486"/>
  </w:num>
  <w:num w:numId="5">
    <w:abstractNumId w:val="9298487"/>
  </w:num>
  <w:num w:numId="6">
    <w:abstractNumId w:val="9298488"/>
  </w:num>
  <w:num w:numId="7">
    <w:abstractNumId w:val="9298489"/>
  </w:num>
  <w:num w:numId="8">
    <w:abstractNumId w:val="9298490"/>
  </w:num>
  <w:num w:numId="9">
    <w:abstractNumId w:val="9298491"/>
  </w:num>
  <w:num w:numId="10">
    <w:abstractNumId w:val="9298492"/>
  </w:num>
  <w:num w:numId="11">
    <w:abstractNumId w:val="9298493"/>
  </w:num>
  <w:num w:numId="12">
    <w:abstractNumId w:val="9298494"/>
  </w:num>
  <w:num w:numId="13">
    <w:abstractNumId w:val="9298495"/>
  </w:num>
  <w:num w:numId="14">
    <w:abstractNumId w:val="9298496"/>
  </w:num>
  <w:num w:numId="15">
    <w:abstractNumId w:val="9298497"/>
  </w:num>
  <w:num w:numId="16">
    <w:abstractNumId w:val="9298498"/>
  </w:num>
  <w:num w:numId="17">
    <w:abstractNumId w:val="9298499"/>
  </w:num>
  <w:num w:numId="18">
    <w:abstractNumId w:val="9298500"/>
  </w:num>
  <w:num w:numId="19">
    <w:abstractNumId w:val="929850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2026-03-24T07:25:08Z</dcterms:created>
  <dc:creator>Apache POI</dc:creator>
</cp:coreProperties>
</file>