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成品水箱产品说明书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产品名称</w:t>
      </w:r>
      <w:r>
        <w:rPr>
          <w:rFonts w:eastAsia="等线" w:ascii="Arial" w:cs="Arial" w:hAnsi="Arial"/>
          <w:sz w:val="22"/>
        </w:rPr>
        <w:t>：食品级304不锈钢成品水箱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型号规格</w:t>
      </w:r>
      <w:r>
        <w:rPr>
          <w:rFonts w:eastAsia="等线" w:ascii="Arial" w:cs="Arial" w:hAnsi="Arial"/>
          <w:sz w:val="22"/>
        </w:rPr>
        <w:t>：ZSX-5/10/20（有效容积5m³/10m³/20m³）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执行标准</w:t>
      </w:r>
      <w:r>
        <w:rPr>
          <w:rFonts w:eastAsia="等线" w:ascii="Arial" w:cs="Arial" w:hAnsi="Arial"/>
          <w:sz w:val="22"/>
        </w:rPr>
        <w:t>：GB/T 17219-1998《生活饮用水输配水设备及防护材料的安全性评价标准》、GB 50015-2019《建筑给水排水设计标准》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生产日期</w:t>
      </w:r>
      <w:r>
        <w:rPr>
          <w:rFonts w:eastAsia="等线" w:ascii="Arial" w:cs="Arial" w:hAnsi="Arial"/>
          <w:sz w:val="22"/>
        </w:rPr>
        <w:t>：2026年02月20日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质保期限</w:t>
      </w:r>
      <w:r>
        <w:rPr>
          <w:rFonts w:eastAsia="等线" w:ascii="Arial" w:cs="Arial" w:hAnsi="Arial"/>
          <w:sz w:val="22"/>
        </w:rPr>
        <w:t>：2年（自安装验收合格之日起）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一、产品概述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本产品为</w:t>
      </w:r>
      <w:r>
        <w:rPr>
          <w:rFonts w:eastAsia="等线" w:ascii="Arial" w:cs="Arial" w:hAnsi="Arial"/>
          <w:b w:val="true"/>
          <w:sz w:val="22"/>
        </w:rPr>
        <w:t>模块化拼装式食品级304不锈钢成品水箱</w:t>
      </w:r>
      <w:r>
        <w:rPr>
          <w:rFonts w:eastAsia="等线" w:ascii="Arial" w:cs="Arial" w:hAnsi="Arial"/>
          <w:sz w:val="22"/>
        </w:rPr>
        <w:t>，专为生活饮用水、直饮水等清洁水体储存设计，采用卫生级材质与密闭结构，具备耐腐蚀、无二次污染、安装便捷、使用寿命长等特点，广泛应用于公共建筑、住宅、医院等场所的生活饮用水储水系统。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二、核心参数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参数项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技术指标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有效容积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5m³ / 10m³ / 20m³（可定制）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材质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食品级304不锈钢板（厚度1.2~2.0mm）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设计压力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0.6MPa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工作温度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0~60℃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密封材质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食品级硅橡胶（符合GB 4806.11）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连接方式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氩弧焊接+食品级密封胶条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外形尺寸（示例）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5m³：2000×2500×1000mm；10m³：2000×5000×1000mm；20m³：4000×5000×1000mm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净重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5m³：约320kg；10m³：约580kg；20m³：约1050kg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三、结构组成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箱体模块</w:t>
      </w:r>
      <w:r>
        <w:rPr>
          <w:rFonts w:eastAsia="等线" w:ascii="Arial" w:cs="Arial" w:hAnsi="Arial"/>
          <w:sz w:val="22"/>
        </w:rPr>
        <w:t>：由食品级304不锈钢板冲压成型的标准模块拼装而成，板块间采用氩弧焊接+密封胶条双重密封，确保无渗漏。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顶盖结构</w:t>
      </w:r>
      <w:r>
        <w:rPr>
          <w:rFonts w:eastAsia="等线" w:ascii="Arial" w:cs="Arial" w:hAnsi="Arial"/>
          <w:sz w:val="22"/>
        </w:rPr>
        <w:t>：密闭式平顶设计，带600×600mm检修人孔（带锁扣与密封胶条），防止蚊虫、杂物进入。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管路接口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进水口：DN50/DN40（顶部侧装）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出水口：DN50/DN40（底部侧装）</w:t>
      </w:r>
    </w:p>
    <w:p>
      <w:pPr>
        <w:numPr>
          <w:numId w:val="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溢流口：DN65（顶部侧装，配套防蚊网）</w:t>
      </w:r>
    </w:p>
    <w:p>
      <w:pPr>
        <w:numPr>
          <w:numId w:val="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排污口：DN50（底部中央）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液位计接口：DN25（侧面）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支撑结构</w:t>
      </w:r>
      <w:r>
        <w:rPr>
          <w:rFonts w:eastAsia="等线" w:ascii="Arial" w:cs="Arial" w:hAnsi="Arial"/>
          <w:sz w:val="22"/>
        </w:rPr>
        <w:t>：不锈钢槽钢框架+橡胶减震垫，确保箱体稳固，减少运行噪音。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附件配置</w:t>
      </w:r>
      <w:r>
        <w:rPr>
          <w:rFonts w:eastAsia="等线" w:ascii="Arial" w:cs="Arial" w:hAnsi="Arial"/>
          <w:sz w:val="22"/>
        </w:rPr>
        <w:t>：人孔盖、爬梯（可选）、液位计、透气帽（带活性炭过滤）。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四、性能特点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✅ </w:t>
      </w:r>
      <w:r>
        <w:rPr>
          <w:rFonts w:eastAsia="等线" w:ascii="Arial" w:cs="Arial" w:hAnsi="Arial"/>
          <w:b w:val="true"/>
          <w:sz w:val="22"/>
        </w:rPr>
        <w:t>卫生安全</w:t>
      </w:r>
      <w:r>
        <w:rPr>
          <w:rFonts w:eastAsia="等线" w:ascii="Arial" w:cs="Arial" w:hAnsi="Arial"/>
          <w:sz w:val="22"/>
        </w:rPr>
        <w:t>：全接触材质均为食品级304不锈钢与食品级硅橡胶，符合生活饮用水卫生标准，无有害物质析出，不滋生细菌。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✅ </w:t>
      </w:r>
      <w:r>
        <w:rPr>
          <w:rFonts w:eastAsia="等线" w:ascii="Arial" w:cs="Arial" w:hAnsi="Arial"/>
          <w:b w:val="true"/>
          <w:sz w:val="22"/>
        </w:rPr>
        <w:t>耐腐蚀耐用</w:t>
      </w:r>
      <w:r>
        <w:rPr>
          <w:rFonts w:eastAsia="等线" w:ascii="Arial" w:cs="Arial" w:hAnsi="Arial"/>
          <w:sz w:val="22"/>
        </w:rPr>
        <w:t>：304不锈钢材质抗酸碱腐蚀，表面抛光处理，不易结垢，使用寿命可达20年以上。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✅ </w:t>
      </w:r>
      <w:r>
        <w:rPr>
          <w:rFonts w:eastAsia="等线" w:ascii="Arial" w:cs="Arial" w:hAnsi="Arial"/>
          <w:b w:val="true"/>
          <w:sz w:val="22"/>
        </w:rPr>
        <w:t>密闭防污染</w:t>
      </w:r>
      <w:r>
        <w:rPr>
          <w:rFonts w:eastAsia="等线" w:ascii="Arial" w:cs="Arial" w:hAnsi="Arial"/>
          <w:sz w:val="22"/>
        </w:rPr>
        <w:t>：顶盖全密闭设计，溢流口、透气口均配置过滤装置，有效防止灰尘、蚊虫、微生物进入，避免二次污染。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✅ </w:t>
      </w:r>
      <w:r>
        <w:rPr>
          <w:rFonts w:eastAsia="等线" w:ascii="Arial" w:cs="Arial" w:hAnsi="Arial"/>
          <w:b w:val="true"/>
          <w:sz w:val="22"/>
        </w:rPr>
        <w:t>模块化拼装</w:t>
      </w:r>
      <w:r>
        <w:rPr>
          <w:rFonts w:eastAsia="等线" w:ascii="Arial" w:cs="Arial" w:hAnsi="Arial"/>
          <w:sz w:val="22"/>
        </w:rPr>
        <w:t>：可根据现场空间灵活组合容积，安装便捷，无需大型吊装设备，适配各类建筑场景。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✅ </w:t>
      </w:r>
      <w:r>
        <w:rPr>
          <w:rFonts w:eastAsia="等线" w:ascii="Arial" w:cs="Arial" w:hAnsi="Arial"/>
          <w:b w:val="true"/>
          <w:sz w:val="22"/>
        </w:rPr>
        <w:t>维护便捷</w:t>
      </w:r>
      <w:r>
        <w:rPr>
          <w:rFonts w:eastAsia="等线" w:ascii="Arial" w:cs="Arial" w:hAnsi="Arial"/>
          <w:sz w:val="22"/>
        </w:rPr>
        <w:t>：底部排污口+侧面人孔设计，便于定期清洗、消毒与检修，降低运维成本。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五、安装要求</w:t>
      </w:r>
      <w:bookmarkEnd w:id="4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基础要求</w:t>
      </w:r>
      <w:r>
        <w:rPr>
          <w:rFonts w:eastAsia="等线" w:ascii="Arial" w:cs="Arial" w:hAnsi="Arial"/>
          <w:sz w:val="22"/>
        </w:rPr>
        <w:t>：水箱需安装在水平混凝土基础上，基础平整度偏差≤2mm/m，承载力≥水箱满水重量的1.5倍。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管路连接</w:t>
      </w:r>
      <w:r>
        <w:rPr>
          <w:rFonts w:eastAsia="等线" w:ascii="Arial" w:cs="Arial" w:hAnsi="Arial"/>
          <w:sz w:val="22"/>
        </w:rPr>
        <w:t>：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进水/出水管路采用食品级304不锈钢管，卡压式连接，避免渗漏。</w:t>
      </w:r>
    </w:p>
    <w:p>
      <w:pPr>
        <w:numPr>
          <w:numId w:val="1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溢流管需接入建筑排水系统，不得直接与污水管连接，防止倒灌。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排污管需单独接入排水系统，便于定期排放沉积物。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固定与防护</w:t>
      </w:r>
      <w:r>
        <w:rPr>
          <w:rFonts w:eastAsia="等线" w:ascii="Arial" w:cs="Arial" w:hAnsi="Arial"/>
          <w:sz w:val="22"/>
        </w:rPr>
        <w:t>：水箱与基础之间需铺设橡胶减震垫，箱体与墙体间距≥300mm，便于检修。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保温要求</w:t>
      </w:r>
      <w:r>
        <w:rPr>
          <w:rFonts w:eastAsia="等线" w:ascii="Arial" w:cs="Arial" w:hAnsi="Arial"/>
          <w:sz w:val="22"/>
        </w:rPr>
        <w:t>：若安装于室外或低温环境，需外包20mm厚橡塑保温层，防止冻裂与结露。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六、使用与维护</w:t>
      </w:r>
      <w:bookmarkEnd w:id="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6.1 日常使用</w:t>
      </w:r>
      <w:bookmarkEnd w:id="6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首次使用前，需用清水冲洗箱体2~3次，排空残留杂质后再投入使用。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运行期间保持进水/出水压力稳定，避免频繁启停造成水锤冲击。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定期检查液位计、阀门、密封件状态，确保无渗漏、无堵塞。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6.2 定期维护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频次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操作要求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水质检测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委托第三方检测机构检测水质，确保符合GB 5749-2022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箱体清洗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每半年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打开人孔，用饮用水级消毒剂清洗内壁，排空污水后用清水冲洗干净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密封件检查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检查人孔、接口处密封胶条，若出现老化、破损及时更换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防腐检查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每2年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检查箱体焊缝、支撑结构，若出现锈蚀及时补涂食品级防腐涂料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七、注意事项</w:t>
      </w:r>
      <w:bookmarkEnd w:id="8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严禁在水箱内储存非生活饮用水、腐蚀性液体或易燃易爆物质。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禁止在箱体上焊接、切割或施加外力撞击，避免破坏结构与密封。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清洗消毒时需使用符合饮用水卫生标准的消毒剂，严禁使用强酸、强碱等腐蚀性清洁剂。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若发现箱体渗漏、变形或水质异常，应立即停止使用并联系厂家检修。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质保期内非人为损坏的质量问题，厂家提供免费维修与更换服务；人为损坏或超期使用需付费维修。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八、售后服务</w:t>
      </w:r>
      <w:bookmarkEnd w:id="9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提供</w:t>
      </w:r>
      <w:r>
        <w:rPr>
          <w:rFonts w:eastAsia="等线" w:ascii="Arial" w:cs="Arial" w:hAnsi="Arial"/>
          <w:b w:val="true"/>
          <w:sz w:val="22"/>
        </w:rPr>
        <w:t>免费现场安装指导</w:t>
      </w:r>
      <w:r>
        <w:rPr>
          <w:rFonts w:eastAsia="等线" w:ascii="Arial" w:cs="Arial" w:hAnsi="Arial"/>
          <w:sz w:val="22"/>
        </w:rPr>
        <w:t>与</w:t>
      </w:r>
      <w:r>
        <w:rPr>
          <w:rFonts w:eastAsia="等线" w:ascii="Arial" w:cs="Arial" w:hAnsi="Arial"/>
          <w:b w:val="true"/>
          <w:sz w:val="22"/>
        </w:rPr>
        <w:t>1次免费水质检测</w:t>
      </w:r>
      <w:r>
        <w:rPr>
          <w:rFonts w:eastAsia="等线" w:ascii="Arial" w:cs="Arial" w:hAnsi="Arial"/>
          <w:sz w:val="22"/>
        </w:rPr>
        <w:t>服务。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质保期外提供终身维护服务，仅收取配件成本费与人工费。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日期</w:t>
      </w:r>
      <w:r>
        <w:rPr>
          <w:rFonts w:eastAsia="等线" w:ascii="Arial" w:cs="Arial" w:hAnsi="Arial"/>
          <w:sz w:val="22"/>
        </w:rPr>
        <w:t>：2026年02月20日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6882768">
    <w:lvl>
      <w:start w:val="1"/>
      <w:numFmt w:val="decimal"/>
      <w:suff w:val="tab"/>
      <w:lvlText w:val="%1."/>
      <w:rPr>
        <w:color w:val="3370ff"/>
      </w:rPr>
    </w:lvl>
  </w:abstractNum>
  <w:abstractNum w:abstractNumId="16882769">
    <w:lvl>
      <w:start w:val="2"/>
      <w:numFmt w:val="decimal"/>
      <w:suff w:val="tab"/>
      <w:lvlText w:val="%1."/>
      <w:rPr>
        <w:color w:val="3370ff"/>
      </w:rPr>
    </w:lvl>
  </w:abstractNum>
  <w:abstractNum w:abstractNumId="16882770">
    <w:lvl>
      <w:start w:val="3"/>
      <w:numFmt w:val="decimal"/>
      <w:suff w:val="tab"/>
      <w:lvlText w:val="%1."/>
      <w:rPr>
        <w:color w:val="3370ff"/>
      </w:rPr>
    </w:lvl>
  </w:abstractNum>
  <w:abstractNum w:abstractNumId="16882771">
    <w:lvl>
      <w:numFmt w:val="bullet"/>
      <w:suff w:val="tab"/>
      <w:lvlText w:val="￮"/>
      <w:rPr>
        <w:color w:val="3370ff"/>
      </w:rPr>
    </w:lvl>
  </w:abstractNum>
  <w:abstractNum w:abstractNumId="16882772">
    <w:lvl>
      <w:numFmt w:val="bullet"/>
      <w:suff w:val="tab"/>
      <w:lvlText w:val="￮"/>
      <w:rPr>
        <w:color w:val="3370ff"/>
      </w:rPr>
    </w:lvl>
  </w:abstractNum>
  <w:abstractNum w:abstractNumId="16882773">
    <w:lvl>
      <w:numFmt w:val="bullet"/>
      <w:suff w:val="tab"/>
      <w:lvlText w:val="￮"/>
      <w:rPr>
        <w:color w:val="3370ff"/>
      </w:rPr>
    </w:lvl>
  </w:abstractNum>
  <w:abstractNum w:abstractNumId="16882774">
    <w:lvl>
      <w:numFmt w:val="bullet"/>
      <w:suff w:val="tab"/>
      <w:lvlText w:val="￮"/>
      <w:rPr>
        <w:color w:val="3370ff"/>
      </w:rPr>
    </w:lvl>
  </w:abstractNum>
  <w:abstractNum w:abstractNumId="16882775">
    <w:lvl>
      <w:numFmt w:val="bullet"/>
      <w:suff w:val="tab"/>
      <w:lvlText w:val="￮"/>
      <w:rPr>
        <w:color w:val="3370ff"/>
      </w:rPr>
    </w:lvl>
  </w:abstractNum>
  <w:abstractNum w:abstractNumId="16882776">
    <w:lvl>
      <w:start w:val="4"/>
      <w:numFmt w:val="decimal"/>
      <w:suff w:val="tab"/>
      <w:lvlText w:val="%1."/>
      <w:rPr>
        <w:color w:val="3370ff"/>
      </w:rPr>
    </w:lvl>
  </w:abstractNum>
  <w:abstractNum w:abstractNumId="16882777">
    <w:lvl>
      <w:start w:val="5"/>
      <w:numFmt w:val="decimal"/>
      <w:suff w:val="tab"/>
      <w:lvlText w:val="%1."/>
      <w:rPr>
        <w:color w:val="3370ff"/>
      </w:rPr>
    </w:lvl>
  </w:abstractNum>
  <w:abstractNum w:abstractNumId="16882778">
    <w:lvl>
      <w:start w:val="1"/>
      <w:numFmt w:val="decimal"/>
      <w:suff w:val="tab"/>
      <w:lvlText w:val="%1."/>
      <w:rPr>
        <w:color w:val="3370ff"/>
      </w:rPr>
    </w:lvl>
  </w:abstractNum>
  <w:abstractNum w:abstractNumId="16882779">
    <w:lvl>
      <w:start w:val="2"/>
      <w:numFmt w:val="decimal"/>
      <w:suff w:val="tab"/>
      <w:lvlText w:val="%1."/>
      <w:rPr>
        <w:color w:val="3370ff"/>
      </w:rPr>
    </w:lvl>
  </w:abstractNum>
  <w:abstractNum w:abstractNumId="16882780">
    <w:lvl>
      <w:numFmt w:val="bullet"/>
      <w:suff w:val="tab"/>
      <w:lvlText w:val="￮"/>
      <w:rPr>
        <w:color w:val="3370ff"/>
      </w:rPr>
    </w:lvl>
  </w:abstractNum>
  <w:abstractNum w:abstractNumId="16882781">
    <w:lvl>
      <w:numFmt w:val="bullet"/>
      <w:suff w:val="tab"/>
      <w:lvlText w:val="￮"/>
      <w:rPr>
        <w:color w:val="3370ff"/>
      </w:rPr>
    </w:lvl>
  </w:abstractNum>
  <w:abstractNum w:abstractNumId="16882782">
    <w:lvl>
      <w:numFmt w:val="bullet"/>
      <w:suff w:val="tab"/>
      <w:lvlText w:val="￮"/>
      <w:rPr>
        <w:color w:val="3370ff"/>
      </w:rPr>
    </w:lvl>
  </w:abstractNum>
  <w:abstractNum w:abstractNumId="16882783">
    <w:lvl>
      <w:start w:val="3"/>
      <w:numFmt w:val="decimal"/>
      <w:suff w:val="tab"/>
      <w:lvlText w:val="%1."/>
      <w:rPr>
        <w:color w:val="3370ff"/>
      </w:rPr>
    </w:lvl>
  </w:abstractNum>
  <w:abstractNum w:abstractNumId="16882784">
    <w:lvl>
      <w:start w:val="4"/>
      <w:numFmt w:val="decimal"/>
      <w:suff w:val="tab"/>
      <w:lvlText w:val="%1."/>
      <w:rPr>
        <w:color w:val="3370ff"/>
      </w:rPr>
    </w:lvl>
  </w:abstractNum>
  <w:abstractNum w:abstractNumId="16882785">
    <w:lvl>
      <w:numFmt w:val="bullet"/>
      <w:suff w:val="tab"/>
      <w:lvlText w:val="•"/>
      <w:rPr>
        <w:color w:val="3370ff"/>
      </w:rPr>
    </w:lvl>
  </w:abstractNum>
  <w:abstractNum w:abstractNumId="16882786">
    <w:lvl>
      <w:numFmt w:val="bullet"/>
      <w:suff w:val="tab"/>
      <w:lvlText w:val="•"/>
      <w:rPr>
        <w:color w:val="3370ff"/>
      </w:rPr>
    </w:lvl>
  </w:abstractNum>
  <w:abstractNum w:abstractNumId="16882787">
    <w:lvl>
      <w:numFmt w:val="bullet"/>
      <w:suff w:val="tab"/>
      <w:lvlText w:val="•"/>
      <w:rPr>
        <w:color w:val="3370ff"/>
      </w:rPr>
    </w:lvl>
  </w:abstractNum>
  <w:abstractNum w:abstractNumId="16882788">
    <w:lvl>
      <w:start w:val="1"/>
      <w:numFmt w:val="decimal"/>
      <w:suff w:val="tab"/>
      <w:lvlText w:val="%1."/>
      <w:rPr>
        <w:color w:val="3370ff"/>
      </w:rPr>
    </w:lvl>
  </w:abstractNum>
  <w:abstractNum w:abstractNumId="16882789">
    <w:lvl>
      <w:start w:val="2"/>
      <w:numFmt w:val="decimal"/>
      <w:suff w:val="tab"/>
      <w:lvlText w:val="%1."/>
      <w:rPr>
        <w:color w:val="3370ff"/>
      </w:rPr>
    </w:lvl>
  </w:abstractNum>
  <w:abstractNum w:abstractNumId="16882790">
    <w:lvl>
      <w:start w:val="3"/>
      <w:numFmt w:val="decimal"/>
      <w:suff w:val="tab"/>
      <w:lvlText w:val="%1."/>
      <w:rPr>
        <w:color w:val="3370ff"/>
      </w:rPr>
    </w:lvl>
  </w:abstractNum>
  <w:abstractNum w:abstractNumId="16882791">
    <w:lvl>
      <w:start w:val="4"/>
      <w:numFmt w:val="decimal"/>
      <w:suff w:val="tab"/>
      <w:lvlText w:val="%1."/>
      <w:rPr>
        <w:color w:val="3370ff"/>
      </w:rPr>
    </w:lvl>
  </w:abstractNum>
  <w:abstractNum w:abstractNumId="16882792">
    <w:lvl>
      <w:start w:val="5"/>
      <w:numFmt w:val="decimal"/>
      <w:suff w:val="tab"/>
      <w:lvlText w:val="%1."/>
      <w:rPr>
        <w:color w:val="3370ff"/>
      </w:rPr>
    </w:lvl>
  </w:abstractNum>
  <w:abstractNum w:abstractNumId="16882793">
    <w:lvl>
      <w:numFmt w:val="bullet"/>
      <w:suff w:val="tab"/>
      <w:lvlText w:val="•"/>
      <w:rPr>
        <w:color w:val="3370ff"/>
      </w:rPr>
    </w:lvl>
  </w:abstractNum>
  <w:abstractNum w:abstractNumId="16882794">
    <w:lvl>
      <w:numFmt w:val="bullet"/>
      <w:suff w:val="tab"/>
      <w:lvlText w:val="•"/>
      <w:rPr>
        <w:color w:val="3370ff"/>
      </w:rPr>
    </w:lvl>
  </w:abstractNum>
  <w:num w:numId="1">
    <w:abstractNumId w:val="16882768"/>
  </w:num>
  <w:num w:numId="2">
    <w:abstractNumId w:val="16882769"/>
  </w:num>
  <w:num w:numId="3">
    <w:abstractNumId w:val="16882770"/>
  </w:num>
  <w:num w:numId="4">
    <w:abstractNumId w:val="16882771"/>
  </w:num>
  <w:num w:numId="5">
    <w:abstractNumId w:val="16882772"/>
  </w:num>
  <w:num w:numId="6">
    <w:abstractNumId w:val="16882773"/>
  </w:num>
  <w:num w:numId="7">
    <w:abstractNumId w:val="16882774"/>
  </w:num>
  <w:num w:numId="8">
    <w:abstractNumId w:val="16882775"/>
  </w:num>
  <w:num w:numId="9">
    <w:abstractNumId w:val="16882776"/>
  </w:num>
  <w:num w:numId="10">
    <w:abstractNumId w:val="16882777"/>
  </w:num>
  <w:num w:numId="11">
    <w:abstractNumId w:val="16882778"/>
  </w:num>
  <w:num w:numId="12">
    <w:abstractNumId w:val="16882779"/>
  </w:num>
  <w:num w:numId="13">
    <w:abstractNumId w:val="16882780"/>
  </w:num>
  <w:num w:numId="14">
    <w:abstractNumId w:val="16882781"/>
  </w:num>
  <w:num w:numId="15">
    <w:abstractNumId w:val="16882782"/>
  </w:num>
  <w:num w:numId="16">
    <w:abstractNumId w:val="16882783"/>
  </w:num>
  <w:num w:numId="17">
    <w:abstractNumId w:val="16882784"/>
  </w:num>
  <w:num w:numId="18">
    <w:abstractNumId w:val="16882785"/>
  </w:num>
  <w:num w:numId="19">
    <w:abstractNumId w:val="16882786"/>
  </w:num>
  <w:num w:numId="20">
    <w:abstractNumId w:val="16882787"/>
  </w:num>
  <w:num w:numId="21">
    <w:abstractNumId w:val="16882788"/>
  </w:num>
  <w:num w:numId="22">
    <w:abstractNumId w:val="16882789"/>
  </w:num>
  <w:num w:numId="23">
    <w:abstractNumId w:val="16882790"/>
  </w:num>
  <w:num w:numId="24">
    <w:abstractNumId w:val="16882791"/>
  </w:num>
  <w:num w:numId="25">
    <w:abstractNumId w:val="16882792"/>
  </w:num>
  <w:num w:numId="26">
    <w:abstractNumId w:val="16882793"/>
  </w:num>
  <w:num w:numId="27">
    <w:abstractNumId w:val="1688279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2026-03-25T03:54:51Z</dcterms:created>
  <dc:creator>Apache POI</dc:creator>
</cp:coreProperties>
</file>