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旧建筑利用专项报告</w:t>
      </w:r>
    </w:p>
    <w:p>
      <w:pPr>
        <w:spacing w:before="120" w:after="120" w:line="288" w:lineRule="auto"/>
        <w:ind w:left="0"/>
        <w:jc w:val="left"/>
      </w:pPr>
      <w:r>
        <w:rPr>
          <w:rFonts w:eastAsia="等线" w:ascii="Arial" w:cs="Arial" w:hAnsi="Arial"/>
          <w:b w:val="true"/>
          <w:sz w:val="22"/>
        </w:rPr>
        <w:t>项目名称</w:t>
      </w:r>
      <w:r>
        <w:rPr>
          <w:rFonts w:eastAsia="等线" w:ascii="Arial" w:cs="Arial" w:hAnsi="Arial"/>
          <w:sz w:val="22"/>
        </w:rPr>
        <w:t>：徽厅聚绿·天井承合——徽派建筑绿色营造智慧在城市会客厅设计的转译实践</w:t>
      </w:r>
    </w:p>
    <w:p>
      <w:pPr>
        <w:spacing w:before="120" w:after="120" w:line="288" w:lineRule="auto"/>
        <w:ind w:left="0"/>
        <w:jc w:val="left"/>
      </w:pPr>
      <w:r>
        <w:rPr>
          <w:rFonts w:eastAsia="等线" w:ascii="Arial" w:cs="Arial" w:hAnsi="Arial"/>
          <w:b w:val="true"/>
          <w:sz w:val="22"/>
        </w:rPr>
        <w:t>报告单位</w:t>
      </w:r>
      <w:r>
        <w:rPr>
          <w:rFonts w:eastAsia="等线" w:ascii="Arial" w:cs="Arial" w:hAnsi="Arial"/>
          <w:sz w:val="22"/>
        </w:rPr>
        <w:t>：安徽建筑大学 建筑与规划学院</w:t>
      </w:r>
    </w:p>
    <w:p>
      <w:pPr>
        <w:spacing w:before="120" w:after="120" w:line="288" w:lineRule="auto"/>
        <w:ind w:left="0"/>
        <w:jc w:val="left"/>
      </w:pPr>
      <w:r>
        <w:rPr>
          <w:rFonts w:eastAsia="等线" w:ascii="Arial" w:cs="Arial" w:hAnsi="Arial"/>
          <w:b w:val="true"/>
          <w:sz w:val="22"/>
        </w:rPr>
        <w:t>报告日期</w:t>
      </w:r>
      <w:r>
        <w:rPr>
          <w:rFonts w:eastAsia="等线" w:ascii="Arial" w:cs="Arial" w:hAnsi="Arial"/>
          <w:sz w:val="22"/>
        </w:rPr>
        <w:t>：2026年3月22日</w:t>
      </w:r>
    </w:p>
    <w:p>
      <w:pPr>
        <w:spacing w:before="120" w:after="120" w:line="288" w:lineRule="auto"/>
        <w:ind w:left="0"/>
        <w:jc w:val="left"/>
      </w:pPr>
      <w:r>
        <w:rPr>
          <w:rFonts w:eastAsia="等线" w:ascii="Arial" w:cs="Arial" w:hAnsi="Arial"/>
          <w:b w:val="true"/>
          <w:sz w:val="22"/>
        </w:rPr>
        <w:t>编制人</w:t>
      </w:r>
      <w:r>
        <w:rPr>
          <w:rFonts w:eastAsia="等线" w:ascii="Arial" w:cs="Arial" w:hAnsi="Arial"/>
          <w:sz w:val="22"/>
        </w:rPr>
        <w:t>：陈子琦</w:t>
      </w:r>
    </w:p>
    <w:p>
      <w:pPr>
        <w:spacing w:before="120" w:after="120" w:line="288" w:lineRule="auto"/>
        <w:ind w:left="0"/>
        <w:jc w:val="left"/>
      </w:pPr>
      <w:r>
        <w:rPr>
          <w:rFonts w:eastAsia="等线" w:ascii="Arial" w:cs="Arial" w:hAnsi="Arial"/>
          <w:b w:val="true"/>
          <w:sz w:val="22"/>
        </w:rPr>
        <w:t>审核人</w:t>
      </w:r>
      <w:r>
        <w:rPr>
          <w:rFonts w:eastAsia="等线" w:ascii="Arial" w:cs="Arial" w:hAnsi="Arial"/>
          <w:sz w:val="22"/>
        </w:rPr>
        <w:t>：许杰青</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0" w:id="0"/>
      <w:r>
        <w:rPr>
          <w:rFonts w:eastAsia="等线" w:ascii="Arial" w:cs="Arial" w:hAnsi="Arial"/>
          <w:b w:val="true"/>
          <w:sz w:val="32"/>
        </w:rPr>
        <w:t>一、项目概况</w:t>
      </w:r>
      <w:bookmarkEnd w:id="0"/>
    </w:p>
    <w:p>
      <w:pPr>
        <w:spacing w:before="120" w:after="120" w:line="288" w:lineRule="auto"/>
        <w:ind w:left="0"/>
        <w:jc w:val="left"/>
      </w:pPr>
      <w:r>
        <w:rPr>
          <w:rFonts w:eastAsia="等线" w:ascii="Arial" w:cs="Arial" w:hAnsi="Arial"/>
          <w:sz w:val="22"/>
        </w:rPr>
        <w:t>本项目为</w:t>
      </w:r>
      <w:r>
        <w:rPr>
          <w:rFonts w:eastAsia="等线" w:ascii="Arial" w:cs="Arial" w:hAnsi="Arial"/>
          <w:b w:val="true"/>
          <w:sz w:val="22"/>
        </w:rPr>
        <w:t>新建城市会客厅建筑</w:t>
      </w:r>
      <w:r>
        <w:rPr>
          <w:rFonts w:eastAsia="等线" w:ascii="Arial" w:cs="Arial" w:hAnsi="Arial"/>
          <w:sz w:val="22"/>
        </w:rPr>
        <w:t>，选址位于安徽省合肥市，总建筑面积820㎡，地上2层，建筑高度9.6m。项目以“徽派建筑绿色营造智慧的当代转译”为核心目标，虽无既有旧建筑本体可直接利用，但在设计中深度借鉴并传承了徽派传统旧建筑的空间形制、生态营造智慧与文化基因，实现了对传统建筑文化与技术资源的创新性再利用。</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 w:id="1"/>
      <w:r>
        <w:rPr>
          <w:rFonts w:eastAsia="等线" w:ascii="Arial" w:cs="Arial" w:hAnsi="Arial"/>
          <w:b w:val="true"/>
          <w:sz w:val="32"/>
        </w:rPr>
        <w:t>二、旧建筑资源利用思路与原则</w:t>
      </w:r>
      <w:bookmarkEnd w:id="1"/>
    </w:p>
    <w:p>
      <w:pPr>
        <w:pStyle w:val="3"/>
        <w:spacing w:before="300" w:after="120" w:line="288" w:lineRule="auto"/>
        <w:ind w:left="0"/>
        <w:jc w:val="left"/>
        <w:outlineLvl w:val="2"/>
      </w:pPr>
      <w:bookmarkStart w:name="heading_2" w:id="2"/>
      <w:r>
        <w:rPr>
          <w:rFonts w:eastAsia="等线" w:ascii="Arial" w:cs="Arial" w:hAnsi="Arial"/>
          <w:b w:val="true"/>
          <w:sz w:val="30"/>
        </w:rPr>
        <w:t>（一）利用思路</w:t>
      </w:r>
      <w:bookmarkEnd w:id="2"/>
    </w:p>
    <w:p>
      <w:pPr>
        <w:spacing w:before="120" w:after="120" w:line="288" w:lineRule="auto"/>
        <w:ind w:left="0"/>
        <w:jc w:val="left"/>
      </w:pPr>
      <w:r>
        <w:rPr>
          <w:rFonts w:eastAsia="等线" w:ascii="Arial" w:cs="Arial" w:hAnsi="Arial"/>
          <w:sz w:val="22"/>
        </w:rPr>
        <w:t>本项目并非对既有旧建筑的物理改造，而是对</w:t>
      </w:r>
      <w:r>
        <w:rPr>
          <w:rFonts w:eastAsia="等线" w:ascii="Arial" w:cs="Arial" w:hAnsi="Arial"/>
          <w:b w:val="true"/>
          <w:sz w:val="22"/>
        </w:rPr>
        <w:t>徽派传统旧建筑资源的“活态利用”</w:t>
      </w:r>
      <w:r>
        <w:rPr>
          <w:rFonts w:eastAsia="等线" w:ascii="Arial" w:cs="Arial" w:hAnsi="Arial"/>
          <w:sz w:val="22"/>
        </w:rPr>
        <w:t>：</w:t>
      </w:r>
    </w:p>
    <w:p>
      <w:pPr>
        <w:numPr>
          <w:numId w:val="1"/>
        </w:numPr>
        <w:spacing w:before="120" w:after="120" w:line="288" w:lineRule="auto"/>
        <w:ind w:left="0"/>
        <w:jc w:val="left"/>
      </w:pPr>
      <w:r>
        <w:rPr>
          <w:rFonts w:eastAsia="等线" w:ascii="Arial" w:cs="Arial" w:hAnsi="Arial"/>
          <w:b w:val="true"/>
          <w:sz w:val="22"/>
        </w:rPr>
        <w:t>空间资源利用</w:t>
      </w:r>
      <w:r>
        <w:rPr>
          <w:rFonts w:eastAsia="等线" w:ascii="Arial" w:cs="Arial" w:hAnsi="Arial"/>
          <w:sz w:val="22"/>
        </w:rPr>
        <w:t>：提取徽派天井院、厅堂布局等核心空间逻辑，转化为现代公共建筑的中庭与公共交往空间。</w:t>
      </w:r>
    </w:p>
    <w:p>
      <w:pPr>
        <w:numPr>
          <w:numId w:val="2"/>
        </w:numPr>
        <w:spacing w:before="120" w:after="120" w:line="288" w:lineRule="auto"/>
        <w:ind w:left="0"/>
        <w:jc w:val="left"/>
      </w:pPr>
      <w:r>
        <w:rPr>
          <w:rFonts w:eastAsia="等线" w:ascii="Arial" w:cs="Arial" w:hAnsi="Arial"/>
          <w:b w:val="true"/>
          <w:sz w:val="22"/>
        </w:rPr>
        <w:t>生态技术利用</w:t>
      </w:r>
      <w:r>
        <w:rPr>
          <w:rFonts w:eastAsia="等线" w:ascii="Arial" w:cs="Arial" w:hAnsi="Arial"/>
          <w:sz w:val="22"/>
        </w:rPr>
        <w:t>：传承徽派建筑被动通风、遮阳隔热、雨水管理等生态营造智慧，应用于现代绿色建筑设计。</w:t>
      </w:r>
    </w:p>
    <w:p>
      <w:pPr>
        <w:numPr>
          <w:numId w:val="3"/>
        </w:numPr>
        <w:spacing w:before="120" w:after="120" w:line="288" w:lineRule="auto"/>
        <w:ind w:left="0"/>
        <w:jc w:val="left"/>
      </w:pPr>
      <w:r>
        <w:rPr>
          <w:rFonts w:eastAsia="等线" w:ascii="Arial" w:cs="Arial" w:hAnsi="Arial"/>
          <w:b w:val="true"/>
          <w:sz w:val="22"/>
        </w:rPr>
        <w:t>文化资源利用</w:t>
      </w:r>
      <w:r>
        <w:rPr>
          <w:rFonts w:eastAsia="等线" w:ascii="Arial" w:cs="Arial" w:hAnsi="Arial"/>
          <w:sz w:val="22"/>
        </w:rPr>
        <w:t>：提炼粉墙黛瓦、马头墙等视觉符号与人文内涵，以抽象化、现代化手法融入建筑立面与细节设计。</w:t>
      </w:r>
    </w:p>
    <w:p>
      <w:pPr>
        <w:pStyle w:val="3"/>
        <w:spacing w:before="300" w:after="120" w:line="288" w:lineRule="auto"/>
        <w:ind w:left="0"/>
        <w:jc w:val="left"/>
        <w:outlineLvl w:val="2"/>
      </w:pPr>
      <w:bookmarkStart w:name="heading_3" w:id="3"/>
      <w:r>
        <w:rPr>
          <w:rFonts w:eastAsia="等线" w:ascii="Arial" w:cs="Arial" w:hAnsi="Arial"/>
          <w:b w:val="true"/>
          <w:sz w:val="30"/>
        </w:rPr>
        <w:t>（二）利用原则</w:t>
      </w:r>
      <w:bookmarkEnd w:id="3"/>
    </w:p>
    <w:p>
      <w:pPr>
        <w:numPr>
          <w:numId w:val="4"/>
        </w:numPr>
        <w:spacing w:before="120" w:after="120" w:line="288" w:lineRule="auto"/>
        <w:ind w:left="0"/>
        <w:jc w:val="left"/>
      </w:pPr>
      <w:r>
        <w:rPr>
          <w:rFonts w:eastAsia="等线" w:ascii="Arial" w:cs="Arial" w:hAnsi="Arial"/>
          <w:b w:val="true"/>
          <w:sz w:val="22"/>
        </w:rPr>
        <w:t>文化真实性</w:t>
      </w:r>
      <w:r>
        <w:rPr>
          <w:rFonts w:eastAsia="等线" w:ascii="Arial" w:cs="Arial" w:hAnsi="Arial"/>
          <w:sz w:val="22"/>
        </w:rPr>
        <w:t>：准确把握徽派建筑的核心文化内涵与空间逻辑，避免符号化堆砌。</w:t>
      </w:r>
    </w:p>
    <w:p>
      <w:pPr>
        <w:numPr>
          <w:numId w:val="5"/>
        </w:numPr>
        <w:spacing w:before="120" w:after="120" w:line="288" w:lineRule="auto"/>
        <w:ind w:left="0"/>
        <w:jc w:val="left"/>
      </w:pPr>
      <w:r>
        <w:rPr>
          <w:rFonts w:eastAsia="等线" w:ascii="Arial" w:cs="Arial" w:hAnsi="Arial"/>
          <w:b w:val="true"/>
          <w:sz w:val="22"/>
        </w:rPr>
        <w:t>功能适配性</w:t>
      </w:r>
      <w:r>
        <w:rPr>
          <w:rFonts w:eastAsia="等线" w:ascii="Arial" w:cs="Arial" w:hAnsi="Arial"/>
          <w:sz w:val="22"/>
        </w:rPr>
        <w:t>：确保传统资源的利用与现代城市会客厅的展览、接待、办公等功能需求高度匹配。</w:t>
      </w:r>
    </w:p>
    <w:p>
      <w:pPr>
        <w:numPr>
          <w:numId w:val="6"/>
        </w:numPr>
        <w:spacing w:before="120" w:after="120" w:line="288" w:lineRule="auto"/>
        <w:ind w:left="0"/>
        <w:jc w:val="left"/>
      </w:pPr>
      <w:r>
        <w:rPr>
          <w:rFonts w:eastAsia="等线" w:ascii="Arial" w:cs="Arial" w:hAnsi="Arial"/>
          <w:b w:val="true"/>
          <w:sz w:val="22"/>
        </w:rPr>
        <w:t>生态可持续性</w:t>
      </w:r>
      <w:r>
        <w:rPr>
          <w:rFonts w:eastAsia="等线" w:ascii="Arial" w:cs="Arial" w:hAnsi="Arial"/>
          <w:sz w:val="22"/>
        </w:rPr>
        <w:t>：将传统生态智慧与现代绿色建筑技术结合，提升建筑节能、节水与环境性能。</w:t>
      </w:r>
    </w:p>
    <w:p>
      <w:pPr>
        <w:numPr>
          <w:numId w:val="7"/>
        </w:numPr>
        <w:spacing w:before="120" w:after="120" w:line="288" w:lineRule="auto"/>
        <w:ind w:left="0"/>
        <w:jc w:val="left"/>
      </w:pPr>
      <w:r>
        <w:rPr>
          <w:rFonts w:eastAsia="等线" w:ascii="Arial" w:cs="Arial" w:hAnsi="Arial"/>
          <w:b w:val="true"/>
          <w:sz w:val="22"/>
        </w:rPr>
        <w:t>经济可行性</w:t>
      </w:r>
      <w:r>
        <w:rPr>
          <w:rFonts w:eastAsia="等线" w:ascii="Arial" w:cs="Arial" w:hAnsi="Arial"/>
          <w:sz w:val="22"/>
        </w:rPr>
        <w:t>：通过资源创新利用，控制建设成本，提升项目的社会效益与文化价值。</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4" w:id="4"/>
      <w:r>
        <w:rPr>
          <w:rFonts w:eastAsia="等线" w:ascii="Arial" w:cs="Arial" w:hAnsi="Arial"/>
          <w:b w:val="true"/>
          <w:sz w:val="32"/>
        </w:rPr>
        <w:t>三、旧建筑资源利用具体措施</w:t>
      </w:r>
      <w:bookmarkEnd w:id="4"/>
    </w:p>
    <w:p>
      <w:pPr>
        <w:pStyle w:val="3"/>
        <w:spacing w:before="300" w:after="120" w:line="288" w:lineRule="auto"/>
        <w:ind w:left="0"/>
        <w:jc w:val="left"/>
        <w:outlineLvl w:val="2"/>
      </w:pPr>
      <w:bookmarkStart w:name="heading_5" w:id="5"/>
      <w:r>
        <w:rPr>
          <w:rFonts w:eastAsia="等线" w:ascii="Arial" w:cs="Arial" w:hAnsi="Arial"/>
          <w:b w:val="true"/>
          <w:sz w:val="30"/>
        </w:rPr>
        <w:t>（一）空间形制的转译利用</w:t>
      </w:r>
      <w:bookmarkEnd w:id="5"/>
    </w:p>
    <w:p>
      <w:pPr>
        <w:numPr>
          <w:numId w:val="8"/>
        </w:numPr>
        <w:spacing w:before="120" w:after="120" w:line="288" w:lineRule="auto"/>
        <w:ind w:left="0"/>
        <w:jc w:val="left"/>
      </w:pPr>
      <w:r>
        <w:rPr>
          <w:rFonts w:eastAsia="等线" w:ascii="Arial" w:cs="Arial" w:hAnsi="Arial"/>
          <w:b w:val="true"/>
          <w:sz w:val="22"/>
        </w:rPr>
        <w:t>传统原型</w:t>
      </w:r>
      <w:r>
        <w:rPr>
          <w:rFonts w:eastAsia="等线" w:ascii="Arial" w:cs="Arial" w:hAnsi="Arial"/>
          <w:sz w:val="22"/>
        </w:rPr>
        <w:t>：徽派建筑“天井院”“四水归堂”的空间布局，实现采光、通风、排水与聚气的生态功能。</w:t>
      </w:r>
    </w:p>
    <w:p>
      <w:pPr>
        <w:numPr>
          <w:numId w:val="9"/>
        </w:numPr>
        <w:spacing w:before="120" w:after="120" w:line="288" w:lineRule="auto"/>
        <w:ind w:left="0"/>
        <w:jc w:val="left"/>
      </w:pPr>
      <w:r>
        <w:rPr>
          <w:rFonts w:eastAsia="等线" w:ascii="Arial" w:cs="Arial" w:hAnsi="Arial"/>
          <w:b w:val="true"/>
          <w:sz w:val="22"/>
        </w:rPr>
        <w:t>现代利用</w:t>
      </w:r>
      <w:r>
        <w:rPr>
          <w:rFonts w:eastAsia="等线" w:ascii="Arial" w:cs="Arial" w:hAnsi="Arial"/>
          <w:sz w:val="22"/>
        </w:rPr>
        <w:t>：设计开放式中庭天井，整合自然采光、被动通风与公共活动功能，延续传统空间秩序的同时，满足现代公共建筑的人流集散与社交需求。</w:t>
      </w:r>
    </w:p>
    <w:p>
      <w:pPr>
        <w:numPr>
          <w:numId w:val="10"/>
        </w:numPr>
        <w:spacing w:before="120" w:after="120" w:line="288" w:lineRule="auto"/>
        <w:ind w:left="0"/>
        <w:jc w:val="left"/>
      </w:pPr>
      <w:r>
        <w:rPr>
          <w:rFonts w:eastAsia="等线" w:ascii="Arial" w:cs="Arial" w:hAnsi="Arial"/>
          <w:b w:val="true"/>
          <w:sz w:val="22"/>
        </w:rPr>
        <w:t>利用效果</w:t>
      </w:r>
      <w:r>
        <w:rPr>
          <w:rFonts w:eastAsia="等线" w:ascii="Arial" w:cs="Arial" w:hAnsi="Arial"/>
          <w:sz w:val="22"/>
        </w:rPr>
        <w:t>：中庭天井可引入充足自然光，减少人工照明能耗；同时形成拔风效应，提升自然通风效率，过渡季可替代机械通风。</w:t>
      </w:r>
    </w:p>
    <w:p>
      <w:pPr>
        <w:pStyle w:val="3"/>
        <w:spacing w:before="300" w:after="120" w:line="288" w:lineRule="auto"/>
        <w:ind w:left="0"/>
        <w:jc w:val="left"/>
        <w:outlineLvl w:val="2"/>
      </w:pPr>
      <w:bookmarkStart w:name="heading_6" w:id="6"/>
      <w:r>
        <w:rPr>
          <w:rFonts w:eastAsia="等线" w:ascii="Arial" w:cs="Arial" w:hAnsi="Arial"/>
          <w:b w:val="true"/>
          <w:sz w:val="30"/>
        </w:rPr>
        <w:t>（二）生态营造智慧的技术利用</w:t>
      </w:r>
      <w:bookmarkEnd w:id="6"/>
    </w:p>
    <w:p>
      <w:pPr>
        <w:numPr>
          <w:numId w:val="11"/>
        </w:numPr>
        <w:spacing w:before="120" w:after="120" w:line="288" w:lineRule="auto"/>
        <w:ind w:left="0"/>
        <w:jc w:val="left"/>
      </w:pPr>
      <w:r>
        <w:rPr>
          <w:rFonts w:eastAsia="等线" w:ascii="Arial" w:cs="Arial" w:hAnsi="Arial"/>
          <w:b w:val="true"/>
          <w:sz w:val="22"/>
        </w:rPr>
        <w:t>被动通风技术</w:t>
      </w:r>
      <w:r>
        <w:rPr>
          <w:rFonts w:eastAsia="等线" w:ascii="Arial" w:cs="Arial" w:hAnsi="Arial"/>
          <w:sz w:val="22"/>
        </w:rPr>
        <w:t>：借鉴徽派建筑天井拔风与穿堂风组织逻辑，结合可开启外窗与顶部通风百叶，形成“天井-中庭-走廊”的自然通风系统，有效降低空调能耗。</w:t>
      </w:r>
    </w:p>
    <w:p>
      <w:pPr>
        <w:numPr>
          <w:numId w:val="12"/>
        </w:numPr>
        <w:spacing w:before="120" w:after="120" w:line="288" w:lineRule="auto"/>
        <w:ind w:left="0"/>
        <w:jc w:val="left"/>
      </w:pPr>
      <w:r>
        <w:rPr>
          <w:rFonts w:eastAsia="等线" w:ascii="Arial" w:cs="Arial" w:hAnsi="Arial"/>
          <w:b w:val="true"/>
          <w:sz w:val="22"/>
        </w:rPr>
        <w:t>遮阳隔热技术</w:t>
      </w:r>
      <w:r>
        <w:rPr>
          <w:rFonts w:eastAsia="等线" w:ascii="Arial" w:cs="Arial" w:hAnsi="Arial"/>
          <w:sz w:val="22"/>
        </w:rPr>
        <w:t>：提取徽派高墙窄院的遮阳思路，通过外挑檐口、竖向格栅与天井阴影，实现夏季主动遮阳、冬季引入阳光的气候调节，提升围护结构隔热性能。</w:t>
      </w:r>
    </w:p>
    <w:p>
      <w:pPr>
        <w:numPr>
          <w:numId w:val="13"/>
        </w:numPr>
        <w:spacing w:before="120" w:after="120" w:line="288" w:lineRule="auto"/>
        <w:ind w:left="0"/>
        <w:jc w:val="left"/>
      </w:pPr>
      <w:r>
        <w:rPr>
          <w:rFonts w:eastAsia="等线" w:ascii="Arial" w:cs="Arial" w:hAnsi="Arial"/>
          <w:b w:val="true"/>
          <w:sz w:val="22"/>
        </w:rPr>
        <w:t>雨水管理技术</w:t>
      </w:r>
      <w:r>
        <w:rPr>
          <w:rFonts w:eastAsia="等线" w:ascii="Arial" w:cs="Arial" w:hAnsi="Arial"/>
          <w:sz w:val="22"/>
        </w:rPr>
        <w:t>：传承“四水归堂”的排水智慧，设置天井雨水收集系统，将雨水导入地下蓄水池，用于绿化灌溉与景观补水，践行低影响开发与节水目标。</w:t>
      </w:r>
    </w:p>
    <w:p>
      <w:pPr>
        <w:pStyle w:val="3"/>
        <w:spacing w:before="300" w:after="120" w:line="288" w:lineRule="auto"/>
        <w:ind w:left="0"/>
        <w:jc w:val="left"/>
        <w:outlineLvl w:val="2"/>
      </w:pPr>
      <w:bookmarkStart w:name="heading_7" w:id="7"/>
      <w:r>
        <w:rPr>
          <w:rFonts w:eastAsia="等线" w:ascii="Arial" w:cs="Arial" w:hAnsi="Arial"/>
          <w:b w:val="true"/>
          <w:sz w:val="30"/>
        </w:rPr>
        <w:t>（三）文化符号与材料的创新利用</w:t>
      </w:r>
      <w:bookmarkEnd w:id="7"/>
    </w:p>
    <w:p>
      <w:pPr>
        <w:numPr>
          <w:numId w:val="14"/>
        </w:numPr>
        <w:spacing w:before="120" w:after="120" w:line="288" w:lineRule="auto"/>
        <w:ind w:left="0"/>
        <w:jc w:val="left"/>
      </w:pPr>
      <w:r>
        <w:rPr>
          <w:rFonts w:eastAsia="等线" w:ascii="Arial" w:cs="Arial" w:hAnsi="Arial"/>
          <w:b w:val="true"/>
          <w:sz w:val="22"/>
        </w:rPr>
        <w:t>立面符号利用</w:t>
      </w:r>
      <w:r>
        <w:rPr>
          <w:rFonts w:eastAsia="等线" w:ascii="Arial" w:cs="Arial" w:hAnsi="Arial"/>
          <w:sz w:val="22"/>
        </w:rPr>
        <w:t>：将粉墙黛瓦、马头墙等徽派标志性元素抽象为浅米白色真石漆立面、深灰色金属屋面与折线檐口，保留传统风貌的同时，提升建筑耐久性与现代感。</w:t>
      </w:r>
    </w:p>
    <w:p>
      <w:pPr>
        <w:numPr>
          <w:numId w:val="15"/>
        </w:numPr>
        <w:spacing w:before="120" w:after="120" w:line="288" w:lineRule="auto"/>
        <w:ind w:left="0"/>
        <w:jc w:val="left"/>
      </w:pPr>
      <w:r>
        <w:rPr>
          <w:rFonts w:eastAsia="等线" w:ascii="Arial" w:cs="Arial" w:hAnsi="Arial"/>
          <w:b w:val="true"/>
          <w:sz w:val="22"/>
        </w:rPr>
        <w:t>装饰元素利用</w:t>
      </w:r>
      <w:r>
        <w:rPr>
          <w:rFonts w:eastAsia="等线" w:ascii="Arial" w:cs="Arial" w:hAnsi="Arial"/>
          <w:sz w:val="22"/>
        </w:rPr>
        <w:t>：将徽派木雕、砖雕、石雕等传统装饰元素以模块化、抽象化形式应用于墙面隔断、公共家具与导视系统，传递地域文化记忆。</w:t>
      </w:r>
    </w:p>
    <w:p>
      <w:pPr>
        <w:numPr>
          <w:numId w:val="16"/>
        </w:numPr>
        <w:spacing w:before="120" w:after="120" w:line="288" w:lineRule="auto"/>
        <w:ind w:left="0"/>
        <w:jc w:val="left"/>
      </w:pPr>
      <w:r>
        <w:rPr>
          <w:rFonts w:eastAsia="等线" w:ascii="Arial" w:cs="Arial" w:hAnsi="Arial"/>
          <w:b w:val="true"/>
          <w:sz w:val="22"/>
        </w:rPr>
        <w:t>材料逻辑利用</w:t>
      </w:r>
      <w:r>
        <w:rPr>
          <w:rFonts w:eastAsia="等线" w:ascii="Arial" w:cs="Arial" w:hAnsi="Arial"/>
          <w:sz w:val="22"/>
        </w:rPr>
        <w:t>：借鉴徽派建筑“就地取材”的营造思想，优先选用本地生产的环保建材（如本地石材、再生砖），降低运输能耗与碳足迹。</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8" w:id="8"/>
      <w:r>
        <w:rPr>
          <w:rFonts w:eastAsia="等线" w:ascii="Arial" w:cs="Arial" w:hAnsi="Arial"/>
          <w:b w:val="true"/>
          <w:sz w:val="32"/>
        </w:rPr>
        <w:t>四、利用效果评估</w:t>
      </w:r>
      <w:bookmarkEnd w:id="8"/>
    </w:p>
    <w:p>
      <w:pPr>
        <w:pStyle w:val="3"/>
        <w:spacing w:before="300" w:after="120" w:line="288" w:lineRule="auto"/>
        <w:ind w:left="0"/>
        <w:jc w:val="left"/>
        <w:outlineLvl w:val="2"/>
      </w:pPr>
      <w:bookmarkStart w:name="heading_9" w:id="9"/>
      <w:r>
        <w:rPr>
          <w:rFonts w:eastAsia="等线" w:ascii="Arial" w:cs="Arial" w:hAnsi="Arial"/>
          <w:b w:val="true"/>
          <w:sz w:val="30"/>
        </w:rPr>
        <w:t>（一）文化传承效果</w:t>
      </w:r>
      <w:bookmarkEnd w:id="9"/>
    </w:p>
    <w:p>
      <w:pPr>
        <w:spacing w:before="120" w:after="120" w:line="288" w:lineRule="auto"/>
        <w:ind w:left="0"/>
        <w:jc w:val="left"/>
      </w:pPr>
      <w:r>
        <w:rPr>
          <w:rFonts w:eastAsia="等线" w:ascii="Arial" w:cs="Arial" w:hAnsi="Arial"/>
          <w:sz w:val="22"/>
        </w:rPr>
        <w:t>本项目通过对徽派旧建筑资源的活态利用，成功构建了具有鲜明地域辨识度的建筑形象，强化了市民的文化归属感与场所精神，实现了传统建筑文化在当代公共建筑中的有效传承与创新表达。</w:t>
      </w:r>
    </w:p>
    <w:p>
      <w:pPr>
        <w:pStyle w:val="3"/>
        <w:spacing w:before="300" w:after="120" w:line="288" w:lineRule="auto"/>
        <w:ind w:left="0"/>
        <w:jc w:val="left"/>
        <w:outlineLvl w:val="2"/>
      </w:pPr>
      <w:bookmarkStart w:name="heading_10" w:id="10"/>
      <w:r>
        <w:rPr>
          <w:rFonts w:eastAsia="等线" w:ascii="Arial" w:cs="Arial" w:hAnsi="Arial"/>
          <w:b w:val="true"/>
          <w:sz w:val="30"/>
        </w:rPr>
        <w:t>（二）生态节能效果</w:t>
      </w:r>
      <w:bookmarkEnd w:id="10"/>
    </w:p>
    <w:p>
      <w:pPr>
        <w:numPr>
          <w:numId w:val="17"/>
        </w:numPr>
        <w:spacing w:before="120" w:after="120" w:line="288" w:lineRule="auto"/>
        <w:ind w:left="0"/>
        <w:jc w:val="left"/>
      </w:pPr>
      <w:r>
        <w:rPr>
          <w:rFonts w:eastAsia="等线" w:ascii="Arial" w:cs="Arial" w:hAnsi="Arial"/>
          <w:sz w:val="22"/>
        </w:rPr>
        <w:t>自然通风与被动遮阳的应用，预计可降低空调系统能耗约15%。</w:t>
      </w:r>
    </w:p>
    <w:p>
      <w:pPr>
        <w:numPr>
          <w:numId w:val="18"/>
        </w:numPr>
        <w:spacing w:before="120" w:after="120" w:line="288" w:lineRule="auto"/>
        <w:ind w:left="0"/>
        <w:jc w:val="left"/>
      </w:pPr>
      <w:r>
        <w:rPr>
          <w:rFonts w:eastAsia="等线" w:ascii="Arial" w:cs="Arial" w:hAnsi="Arial"/>
          <w:sz w:val="22"/>
        </w:rPr>
        <w:t>雨水收集系统可实现年雨水回用约120m³，满足绿化灌溉与景观用水需求，节水率约20%。</w:t>
      </w:r>
    </w:p>
    <w:p>
      <w:pPr>
        <w:numPr>
          <w:numId w:val="19"/>
        </w:numPr>
        <w:spacing w:before="120" w:after="120" w:line="288" w:lineRule="auto"/>
        <w:ind w:left="0"/>
        <w:jc w:val="left"/>
      </w:pPr>
      <w:r>
        <w:rPr>
          <w:rFonts w:eastAsia="等线" w:ascii="Arial" w:cs="Arial" w:hAnsi="Arial"/>
          <w:sz w:val="22"/>
        </w:rPr>
        <w:t>本地材料的优先使用，减少了建材运输碳排放，符合绿色建筑低碳目标。</w:t>
      </w:r>
    </w:p>
    <w:p>
      <w:pPr>
        <w:pStyle w:val="3"/>
        <w:spacing w:before="300" w:after="120" w:line="288" w:lineRule="auto"/>
        <w:ind w:left="0"/>
        <w:jc w:val="left"/>
        <w:outlineLvl w:val="2"/>
      </w:pPr>
      <w:bookmarkStart w:name="heading_11" w:id="11"/>
      <w:r>
        <w:rPr>
          <w:rFonts w:eastAsia="等线" w:ascii="Arial" w:cs="Arial" w:hAnsi="Arial"/>
          <w:b w:val="true"/>
          <w:sz w:val="30"/>
        </w:rPr>
        <w:t>（三）功能与社会效益</w:t>
      </w:r>
      <w:bookmarkEnd w:id="11"/>
    </w:p>
    <w:p>
      <w:pPr>
        <w:numPr>
          <w:numId w:val="20"/>
        </w:numPr>
        <w:spacing w:before="120" w:after="120" w:line="288" w:lineRule="auto"/>
        <w:ind w:left="0"/>
        <w:jc w:val="left"/>
      </w:pPr>
      <w:r>
        <w:rPr>
          <w:rFonts w:eastAsia="等线" w:ascii="Arial" w:cs="Arial" w:hAnsi="Arial"/>
          <w:sz w:val="22"/>
        </w:rPr>
        <w:t>空间转译利用后的中庭天井成为核心公共活动空间，有效提升了城市会客厅的公共性与活力。</w:t>
      </w:r>
    </w:p>
    <w:p>
      <w:pPr>
        <w:numPr>
          <w:numId w:val="21"/>
        </w:numPr>
        <w:spacing w:before="120" w:after="120" w:line="288" w:lineRule="auto"/>
        <w:ind w:left="0"/>
        <w:jc w:val="left"/>
      </w:pPr>
      <w:r>
        <w:rPr>
          <w:rFonts w:eastAsia="等线" w:ascii="Arial" w:cs="Arial" w:hAnsi="Arial"/>
          <w:sz w:val="22"/>
        </w:rPr>
        <w:t>文化元素的融入增强了项目的地域辨识度与公共价值，为市民提供了兼具文化性与舒适性的公共服务场所。</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2" w:id="12"/>
      <w:r>
        <w:rPr>
          <w:rFonts w:eastAsia="等线" w:ascii="Arial" w:cs="Arial" w:hAnsi="Arial"/>
          <w:b w:val="true"/>
          <w:sz w:val="32"/>
        </w:rPr>
        <w:t>五、存在问题与改进建议</w:t>
      </w:r>
      <w:bookmarkEnd w:id="12"/>
    </w:p>
    <w:p>
      <w:pPr>
        <w:pStyle w:val="3"/>
        <w:spacing w:before="300" w:after="120" w:line="288" w:lineRule="auto"/>
        <w:ind w:left="0"/>
        <w:jc w:val="left"/>
        <w:outlineLvl w:val="2"/>
      </w:pPr>
      <w:bookmarkStart w:name="heading_13" w:id="13"/>
      <w:r>
        <w:rPr>
          <w:rFonts w:eastAsia="等线" w:ascii="Arial" w:cs="Arial" w:hAnsi="Arial"/>
          <w:b w:val="true"/>
          <w:sz w:val="30"/>
        </w:rPr>
        <w:t>（一）存在问题</w:t>
      </w:r>
      <w:bookmarkEnd w:id="13"/>
    </w:p>
    <w:p>
      <w:pPr>
        <w:numPr>
          <w:numId w:val="22"/>
        </w:numPr>
        <w:spacing w:before="120" w:after="120" w:line="288" w:lineRule="auto"/>
        <w:ind w:left="0"/>
        <w:jc w:val="left"/>
      </w:pPr>
      <w:r>
        <w:rPr>
          <w:rFonts w:eastAsia="等线" w:ascii="Arial" w:cs="Arial" w:hAnsi="Arial"/>
          <w:sz w:val="22"/>
        </w:rPr>
        <w:t>天井通风效率受季节与风向影响较大，极端天气下需依赖机械通风辅助。</w:t>
      </w:r>
    </w:p>
    <w:p>
      <w:pPr>
        <w:numPr>
          <w:numId w:val="23"/>
        </w:numPr>
        <w:spacing w:before="120" w:after="120" w:line="288" w:lineRule="auto"/>
        <w:ind w:left="0"/>
        <w:jc w:val="left"/>
      </w:pPr>
      <w:r>
        <w:rPr>
          <w:rFonts w:eastAsia="等线" w:ascii="Arial" w:cs="Arial" w:hAnsi="Arial"/>
          <w:sz w:val="22"/>
        </w:rPr>
        <w:t>传统装饰元素的应用尺度与现代公共空间的功能需求仍需进一步平衡。</w:t>
      </w:r>
    </w:p>
    <w:p>
      <w:pPr>
        <w:pStyle w:val="3"/>
        <w:spacing w:before="300" w:after="120" w:line="288" w:lineRule="auto"/>
        <w:ind w:left="0"/>
        <w:jc w:val="left"/>
        <w:outlineLvl w:val="2"/>
      </w:pPr>
      <w:bookmarkStart w:name="heading_14" w:id="14"/>
      <w:r>
        <w:rPr>
          <w:rFonts w:eastAsia="等线" w:ascii="Arial" w:cs="Arial" w:hAnsi="Arial"/>
          <w:b w:val="true"/>
          <w:sz w:val="30"/>
        </w:rPr>
        <w:t>（二）改进建议</w:t>
      </w:r>
      <w:bookmarkEnd w:id="14"/>
    </w:p>
    <w:p>
      <w:pPr>
        <w:numPr>
          <w:numId w:val="24"/>
        </w:numPr>
        <w:spacing w:before="120" w:after="120" w:line="288" w:lineRule="auto"/>
        <w:ind w:left="0"/>
        <w:jc w:val="left"/>
      </w:pPr>
      <w:r>
        <w:rPr>
          <w:rFonts w:eastAsia="等线" w:ascii="Arial" w:cs="Arial" w:hAnsi="Arial"/>
          <w:sz w:val="22"/>
        </w:rPr>
        <w:t>优化天井通风百叶的自动控制策略，结合气象数据实现智能调节，提升被动通风稳定性。</w:t>
      </w:r>
    </w:p>
    <w:p>
      <w:pPr>
        <w:numPr>
          <w:numId w:val="25"/>
        </w:numPr>
        <w:spacing w:before="120" w:after="120" w:line="288" w:lineRule="auto"/>
        <w:ind w:left="0"/>
        <w:jc w:val="left"/>
      </w:pPr>
      <w:r>
        <w:rPr>
          <w:rFonts w:eastAsia="等线" w:ascii="Arial" w:cs="Arial" w:hAnsi="Arial"/>
          <w:sz w:val="22"/>
        </w:rPr>
        <w:t>进一步简化传统装饰元素的应用形式，强化其与功能空间的融合度，避免过度装饰。</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5" w:id="15"/>
      <w:r>
        <w:rPr>
          <w:rFonts w:eastAsia="等线" w:ascii="Arial" w:cs="Arial" w:hAnsi="Arial"/>
          <w:b w:val="true"/>
          <w:sz w:val="32"/>
        </w:rPr>
        <w:t>六、结论</w:t>
      </w:r>
      <w:bookmarkEnd w:id="15"/>
    </w:p>
    <w:p>
      <w:pPr>
        <w:spacing w:before="120" w:after="120" w:line="288" w:lineRule="auto"/>
        <w:ind w:left="0"/>
        <w:jc w:val="left"/>
      </w:pPr>
      <w:r>
        <w:rPr>
          <w:rFonts w:eastAsia="等线" w:ascii="Arial" w:cs="Arial" w:hAnsi="Arial"/>
          <w:sz w:val="22"/>
        </w:rPr>
        <w:t>本项目虽无既有旧建筑本体的物理改造，但通过对</w:t>
      </w:r>
      <w:r>
        <w:rPr>
          <w:rFonts w:eastAsia="等线" w:ascii="Arial" w:cs="Arial" w:hAnsi="Arial"/>
          <w:b w:val="true"/>
          <w:sz w:val="22"/>
        </w:rPr>
        <w:t>徽派传统旧建筑资源的活态创新利用</w:t>
      </w:r>
      <w:r>
        <w:rPr>
          <w:rFonts w:eastAsia="等线" w:ascii="Arial" w:cs="Arial" w:hAnsi="Arial"/>
          <w:sz w:val="22"/>
        </w:rPr>
        <w:t>，在空间形制、生态技术与文化内涵三个层面实现了对传统建筑智慧的当代转译，既满足了现代城市会客厅的功能与绿色性能要求，又有效传承了地域建筑文化，是一次成功的旧建筑资源“非物理性”再利用实践，符合绿色建筑评价标准中关于资源利用与文化传承的相关要求。</w:t>
      </w:r>
    </w:p>
    <w:p>
      <w:pPr>
        <w:pBdr>
          <w:bottom w:val="single" w:color="dee0e3"/>
          <w:between w:val="single" w:color="dee0e3"/>
        </w:pBdr>
        <w:spacing w:before="120" w:after="120" w:line="288" w:lineRule="auto"/>
        <w:ind w:left="0"/>
      </w:pPr>
    </w:p>
    <w:p>
      <w:pPr>
        <w:pStyle w:val="2"/>
        <w:spacing w:before="320" w:after="120" w:line="288" w:lineRule="auto"/>
        <w:ind w:left="0"/>
        <w:jc w:val="left"/>
        <w:outlineLvl w:val="1"/>
      </w:pPr>
      <w:bookmarkStart w:name="heading_16" w:id="16"/>
      <w:r>
        <w:rPr>
          <w:rFonts w:eastAsia="等线" w:ascii="Arial" w:cs="Arial" w:hAnsi="Arial"/>
          <w:b w:val="true"/>
          <w:sz w:val="32"/>
        </w:rPr>
        <w:t>七、附件</w:t>
      </w:r>
      <w:bookmarkEnd w:id="16"/>
    </w:p>
    <w:p>
      <w:pPr>
        <w:numPr>
          <w:numId w:val="26"/>
        </w:numPr>
        <w:spacing w:before="120" w:after="120" w:line="288" w:lineRule="auto"/>
        <w:ind w:left="0"/>
        <w:jc w:val="left"/>
      </w:pPr>
      <w:r>
        <w:rPr>
          <w:rFonts w:eastAsia="等线" w:ascii="Arial" w:cs="Arial" w:hAnsi="Arial"/>
          <w:sz w:val="22"/>
        </w:rPr>
        <w:t>项目总平面图、立面图、剖面图</w:t>
      </w:r>
    </w:p>
    <w:p>
      <w:pPr>
        <w:numPr>
          <w:numId w:val="27"/>
        </w:numPr>
        <w:spacing w:before="120" w:after="120" w:line="288" w:lineRule="auto"/>
        <w:ind w:left="0"/>
        <w:jc w:val="left"/>
      </w:pPr>
      <w:r>
        <w:rPr>
          <w:rFonts w:eastAsia="等线" w:ascii="Arial" w:cs="Arial" w:hAnsi="Arial"/>
          <w:sz w:val="22"/>
        </w:rPr>
        <w:t>徽派旧建筑资源提取与转译设计图纸</w:t>
      </w:r>
    </w:p>
    <w:p>
      <w:pPr>
        <w:numPr>
          <w:numId w:val="28"/>
        </w:numPr>
        <w:spacing w:before="120" w:after="120" w:line="288" w:lineRule="auto"/>
        <w:ind w:left="0"/>
        <w:jc w:val="left"/>
      </w:pPr>
      <w:r>
        <w:rPr>
          <w:rFonts w:eastAsia="等线" w:ascii="Arial" w:cs="Arial" w:hAnsi="Arial"/>
          <w:sz w:val="22"/>
        </w:rPr>
        <w:t>被动式生态技术模拟分析报告</w:t>
      </w:r>
    </w:p>
    <w:p>
      <w:pPr>
        <w:numPr>
          <w:numId w:val="29"/>
        </w:numPr>
        <w:spacing w:before="120" w:after="120" w:line="288" w:lineRule="auto"/>
        <w:ind w:left="0"/>
        <w:jc w:val="left"/>
      </w:pPr>
      <w:r>
        <w:rPr>
          <w:rFonts w:eastAsia="等线" w:ascii="Arial" w:cs="Arial" w:hAnsi="Arial"/>
          <w:sz w:val="22"/>
        </w:rPr>
        <w:t>材料利用与碳排放分析报告</w:t>
      </w:r>
    </w:p>
    <w:p>
      <w:pPr>
        <w:spacing w:before="120" w:after="120" w:line="288" w:lineRule="auto"/>
        <w:ind w:left="0"/>
        <w:jc w:val="left"/>
      </w:pPr>
      <w:r>
        <w:rPr>
          <w:rFonts w:eastAsia="等线" w:ascii="Arial" w:cs="Arial" w:hAnsi="Arial"/>
          <w:b w:val="true"/>
          <w:sz w:val="22"/>
        </w:rPr>
        <w:t>报告单位（盖章）</w:t>
      </w:r>
      <w:r>
        <w:rPr>
          <w:rFonts w:eastAsia="等线" w:ascii="Arial" w:cs="Arial" w:hAnsi="Arial"/>
          <w:sz w:val="22"/>
        </w:rPr>
        <w:t>：安徽建筑大学 建筑与规划学院</w:t>
      </w:r>
    </w:p>
    <w:p>
      <w:pPr>
        <w:spacing w:before="120" w:after="120" w:line="288" w:lineRule="auto"/>
        <w:ind w:left="0"/>
        <w:jc w:val="left"/>
      </w:pPr>
      <w:r>
        <w:rPr>
          <w:rFonts w:eastAsia="等线" w:ascii="Arial" w:cs="Arial" w:hAnsi="Arial"/>
          <w:b w:val="true"/>
          <w:sz w:val="22"/>
        </w:rPr>
        <w:t>日期</w:t>
      </w:r>
      <w:r>
        <w:rPr>
          <w:rFonts w:eastAsia="等线" w:ascii="Arial" w:cs="Arial" w:hAnsi="Arial"/>
          <w:sz w:val="22"/>
        </w:rPr>
        <w:t>：2026年3月22日</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205320">
    <w:lvl>
      <w:start w:val="1"/>
      <w:numFmt w:val="decimal"/>
      <w:suff w:val="tab"/>
      <w:lvlText w:val="%1."/>
      <w:rPr>
        <w:color w:val="3370ff"/>
      </w:rPr>
    </w:lvl>
  </w:abstractNum>
  <w:abstractNum w:abstractNumId="205321">
    <w:lvl>
      <w:start w:val="2"/>
      <w:numFmt w:val="decimal"/>
      <w:suff w:val="tab"/>
      <w:lvlText w:val="%1."/>
      <w:rPr>
        <w:color w:val="3370ff"/>
      </w:rPr>
    </w:lvl>
  </w:abstractNum>
  <w:abstractNum w:abstractNumId="205322">
    <w:lvl>
      <w:start w:val="3"/>
      <w:numFmt w:val="decimal"/>
      <w:suff w:val="tab"/>
      <w:lvlText w:val="%1."/>
      <w:rPr>
        <w:color w:val="3370ff"/>
      </w:rPr>
    </w:lvl>
  </w:abstractNum>
  <w:abstractNum w:abstractNumId="205323">
    <w:lvl>
      <w:start w:val="1"/>
      <w:numFmt w:val="decimal"/>
      <w:suff w:val="tab"/>
      <w:lvlText w:val="%1."/>
      <w:rPr>
        <w:color w:val="3370ff"/>
      </w:rPr>
    </w:lvl>
  </w:abstractNum>
  <w:abstractNum w:abstractNumId="205324">
    <w:lvl>
      <w:start w:val="2"/>
      <w:numFmt w:val="decimal"/>
      <w:suff w:val="tab"/>
      <w:lvlText w:val="%1."/>
      <w:rPr>
        <w:color w:val="3370ff"/>
      </w:rPr>
    </w:lvl>
  </w:abstractNum>
  <w:abstractNum w:abstractNumId="205325">
    <w:lvl>
      <w:start w:val="3"/>
      <w:numFmt w:val="decimal"/>
      <w:suff w:val="tab"/>
      <w:lvlText w:val="%1."/>
      <w:rPr>
        <w:color w:val="3370ff"/>
      </w:rPr>
    </w:lvl>
  </w:abstractNum>
  <w:abstractNum w:abstractNumId="205326">
    <w:lvl>
      <w:start w:val="4"/>
      <w:numFmt w:val="decimal"/>
      <w:suff w:val="tab"/>
      <w:lvlText w:val="%1."/>
      <w:rPr>
        <w:color w:val="3370ff"/>
      </w:rPr>
    </w:lvl>
  </w:abstractNum>
  <w:abstractNum w:abstractNumId="205327">
    <w:lvl>
      <w:numFmt w:val="bullet"/>
      <w:suff w:val="tab"/>
      <w:lvlText w:val="•"/>
      <w:rPr>
        <w:color w:val="3370ff"/>
      </w:rPr>
    </w:lvl>
  </w:abstractNum>
  <w:abstractNum w:abstractNumId="205328">
    <w:lvl>
      <w:numFmt w:val="bullet"/>
      <w:suff w:val="tab"/>
      <w:lvlText w:val="•"/>
      <w:rPr>
        <w:color w:val="3370ff"/>
      </w:rPr>
    </w:lvl>
  </w:abstractNum>
  <w:abstractNum w:abstractNumId="205329">
    <w:lvl>
      <w:numFmt w:val="bullet"/>
      <w:suff w:val="tab"/>
      <w:lvlText w:val="•"/>
      <w:rPr>
        <w:color w:val="3370ff"/>
      </w:rPr>
    </w:lvl>
  </w:abstractNum>
  <w:abstractNum w:abstractNumId="205330">
    <w:lvl>
      <w:start w:val="1"/>
      <w:numFmt w:val="decimal"/>
      <w:suff w:val="tab"/>
      <w:lvlText w:val="%1."/>
      <w:rPr>
        <w:color w:val="3370ff"/>
      </w:rPr>
    </w:lvl>
  </w:abstractNum>
  <w:abstractNum w:abstractNumId="205331">
    <w:lvl>
      <w:start w:val="2"/>
      <w:numFmt w:val="decimal"/>
      <w:suff w:val="tab"/>
      <w:lvlText w:val="%1."/>
      <w:rPr>
        <w:color w:val="3370ff"/>
      </w:rPr>
    </w:lvl>
  </w:abstractNum>
  <w:abstractNum w:abstractNumId="205332">
    <w:lvl>
      <w:start w:val="3"/>
      <w:numFmt w:val="decimal"/>
      <w:suff w:val="tab"/>
      <w:lvlText w:val="%1."/>
      <w:rPr>
        <w:color w:val="3370ff"/>
      </w:rPr>
    </w:lvl>
  </w:abstractNum>
  <w:abstractNum w:abstractNumId="205333">
    <w:lvl>
      <w:start w:val="1"/>
      <w:numFmt w:val="decimal"/>
      <w:suff w:val="tab"/>
      <w:lvlText w:val="%1."/>
      <w:rPr>
        <w:color w:val="3370ff"/>
      </w:rPr>
    </w:lvl>
  </w:abstractNum>
  <w:abstractNum w:abstractNumId="205334">
    <w:lvl>
      <w:start w:val="2"/>
      <w:numFmt w:val="decimal"/>
      <w:suff w:val="tab"/>
      <w:lvlText w:val="%1."/>
      <w:rPr>
        <w:color w:val="3370ff"/>
      </w:rPr>
    </w:lvl>
  </w:abstractNum>
  <w:abstractNum w:abstractNumId="205335">
    <w:lvl>
      <w:start w:val="3"/>
      <w:numFmt w:val="decimal"/>
      <w:suff w:val="tab"/>
      <w:lvlText w:val="%1."/>
      <w:rPr>
        <w:color w:val="3370ff"/>
      </w:rPr>
    </w:lvl>
  </w:abstractNum>
  <w:abstractNum w:abstractNumId="205336">
    <w:lvl>
      <w:numFmt w:val="bullet"/>
      <w:suff w:val="tab"/>
      <w:lvlText w:val="•"/>
      <w:rPr>
        <w:color w:val="3370ff"/>
      </w:rPr>
    </w:lvl>
  </w:abstractNum>
  <w:abstractNum w:abstractNumId="205337">
    <w:lvl>
      <w:numFmt w:val="bullet"/>
      <w:suff w:val="tab"/>
      <w:lvlText w:val="•"/>
      <w:rPr>
        <w:color w:val="3370ff"/>
      </w:rPr>
    </w:lvl>
  </w:abstractNum>
  <w:abstractNum w:abstractNumId="205338">
    <w:lvl>
      <w:numFmt w:val="bullet"/>
      <w:suff w:val="tab"/>
      <w:lvlText w:val="•"/>
      <w:rPr>
        <w:color w:val="3370ff"/>
      </w:rPr>
    </w:lvl>
  </w:abstractNum>
  <w:abstractNum w:abstractNumId="205339">
    <w:lvl>
      <w:numFmt w:val="bullet"/>
      <w:suff w:val="tab"/>
      <w:lvlText w:val="•"/>
      <w:rPr>
        <w:color w:val="3370ff"/>
      </w:rPr>
    </w:lvl>
  </w:abstractNum>
  <w:abstractNum w:abstractNumId="205340">
    <w:lvl>
      <w:numFmt w:val="bullet"/>
      <w:suff w:val="tab"/>
      <w:lvlText w:val="•"/>
      <w:rPr>
        <w:color w:val="3370ff"/>
      </w:rPr>
    </w:lvl>
  </w:abstractNum>
  <w:abstractNum w:abstractNumId="205341">
    <w:lvl>
      <w:start w:val="1"/>
      <w:numFmt w:val="decimal"/>
      <w:suff w:val="tab"/>
      <w:lvlText w:val="%1."/>
      <w:rPr>
        <w:color w:val="3370ff"/>
      </w:rPr>
    </w:lvl>
  </w:abstractNum>
  <w:abstractNum w:abstractNumId="205342">
    <w:lvl>
      <w:start w:val="2"/>
      <w:numFmt w:val="decimal"/>
      <w:suff w:val="tab"/>
      <w:lvlText w:val="%1."/>
      <w:rPr>
        <w:color w:val="3370ff"/>
      </w:rPr>
    </w:lvl>
  </w:abstractNum>
  <w:abstractNum w:abstractNumId="205343">
    <w:lvl>
      <w:start w:val="1"/>
      <w:numFmt w:val="decimal"/>
      <w:suff w:val="tab"/>
      <w:lvlText w:val="%1."/>
      <w:rPr>
        <w:color w:val="3370ff"/>
      </w:rPr>
    </w:lvl>
  </w:abstractNum>
  <w:abstractNum w:abstractNumId="205344">
    <w:lvl>
      <w:start w:val="2"/>
      <w:numFmt w:val="decimal"/>
      <w:suff w:val="tab"/>
      <w:lvlText w:val="%1."/>
      <w:rPr>
        <w:color w:val="3370ff"/>
      </w:rPr>
    </w:lvl>
  </w:abstractNum>
  <w:abstractNum w:abstractNumId="205345">
    <w:lvl>
      <w:start w:val="1"/>
      <w:numFmt w:val="decimal"/>
      <w:suff w:val="tab"/>
      <w:lvlText w:val="%1."/>
      <w:rPr>
        <w:color w:val="3370ff"/>
      </w:rPr>
    </w:lvl>
  </w:abstractNum>
  <w:abstractNum w:abstractNumId="205346">
    <w:lvl>
      <w:start w:val="2"/>
      <w:numFmt w:val="decimal"/>
      <w:suff w:val="tab"/>
      <w:lvlText w:val="%1."/>
      <w:rPr>
        <w:color w:val="3370ff"/>
      </w:rPr>
    </w:lvl>
  </w:abstractNum>
  <w:abstractNum w:abstractNumId="205347">
    <w:lvl>
      <w:start w:val="3"/>
      <w:numFmt w:val="decimal"/>
      <w:suff w:val="tab"/>
      <w:lvlText w:val="%1."/>
      <w:rPr>
        <w:color w:val="3370ff"/>
      </w:rPr>
    </w:lvl>
  </w:abstractNum>
  <w:abstractNum w:abstractNumId="205348">
    <w:lvl>
      <w:start w:val="4"/>
      <w:numFmt w:val="decimal"/>
      <w:suff w:val="tab"/>
      <w:lvlText w:val="%1."/>
      <w:rPr>
        <w:color w:val="3370ff"/>
      </w:rPr>
    </w:lvl>
  </w:abstractNum>
  <w:num w:numId="1">
    <w:abstractNumId w:val="205320"/>
  </w:num>
  <w:num w:numId="2">
    <w:abstractNumId w:val="205321"/>
  </w:num>
  <w:num w:numId="3">
    <w:abstractNumId w:val="205322"/>
  </w:num>
  <w:num w:numId="4">
    <w:abstractNumId w:val="205323"/>
  </w:num>
  <w:num w:numId="5">
    <w:abstractNumId w:val="205324"/>
  </w:num>
  <w:num w:numId="6">
    <w:abstractNumId w:val="205325"/>
  </w:num>
  <w:num w:numId="7">
    <w:abstractNumId w:val="205326"/>
  </w:num>
  <w:num w:numId="8">
    <w:abstractNumId w:val="205327"/>
  </w:num>
  <w:num w:numId="9">
    <w:abstractNumId w:val="205328"/>
  </w:num>
  <w:num w:numId="10">
    <w:abstractNumId w:val="205329"/>
  </w:num>
  <w:num w:numId="11">
    <w:abstractNumId w:val="205330"/>
  </w:num>
  <w:num w:numId="12">
    <w:abstractNumId w:val="205331"/>
  </w:num>
  <w:num w:numId="13">
    <w:abstractNumId w:val="205332"/>
  </w:num>
  <w:num w:numId="14">
    <w:abstractNumId w:val="205333"/>
  </w:num>
  <w:num w:numId="15">
    <w:abstractNumId w:val="205334"/>
  </w:num>
  <w:num w:numId="16">
    <w:abstractNumId w:val="205335"/>
  </w:num>
  <w:num w:numId="17">
    <w:abstractNumId w:val="205336"/>
  </w:num>
  <w:num w:numId="18">
    <w:abstractNumId w:val="205337"/>
  </w:num>
  <w:num w:numId="19">
    <w:abstractNumId w:val="205338"/>
  </w:num>
  <w:num w:numId="20">
    <w:abstractNumId w:val="205339"/>
  </w:num>
  <w:num w:numId="21">
    <w:abstractNumId w:val="205340"/>
  </w:num>
  <w:num w:numId="22">
    <w:abstractNumId w:val="205341"/>
  </w:num>
  <w:num w:numId="23">
    <w:abstractNumId w:val="205342"/>
  </w:num>
  <w:num w:numId="24">
    <w:abstractNumId w:val="205343"/>
  </w:num>
  <w:num w:numId="25">
    <w:abstractNumId w:val="205344"/>
  </w:num>
  <w:num w:numId="26">
    <w:abstractNumId w:val="205345"/>
  </w:num>
  <w:num w:numId="27">
    <w:abstractNumId w:val="205346"/>
  </w:num>
  <w:num w:numId="28">
    <w:abstractNumId w:val="205347"/>
  </w:num>
  <w:num w:numId="29">
    <w:abstractNumId w:val="205348"/>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2026-03-22T07:32:28Z</dcterms:created>
  <dc:creator>Apache POI</dc:creator>
</cp:coreProperties>
</file>