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旧建筑结构检测报告</w:t>
      </w:r>
    </w:p>
    <w:p>
      <w:pPr>
        <w:spacing w:before="120" w:after="120" w:line="288" w:lineRule="auto"/>
        <w:ind w:left="0"/>
        <w:jc w:val="left"/>
      </w:pPr>
      <w:r>
        <w:rPr>
          <w:rFonts w:eastAsia="等线" w:ascii="Arial" w:cs="Arial" w:hAnsi="Arial"/>
          <w:b w:val="true"/>
          <w:sz w:val="22"/>
        </w:rPr>
        <w:t>项目名称</w:t>
      </w:r>
      <w:r>
        <w:rPr>
          <w:rFonts w:eastAsia="等线" w:ascii="Arial" w:cs="Arial" w:hAnsi="Arial"/>
          <w:sz w:val="22"/>
        </w:rPr>
        <w:t>：徽厅聚绿·天井承合——徽派建筑绿色营造智慧在城市会客厅设计的转译实践</w:t>
      </w:r>
    </w:p>
    <w:p>
      <w:pPr>
        <w:spacing w:before="120" w:after="120" w:line="288" w:lineRule="auto"/>
        <w:ind w:left="0"/>
        <w:jc w:val="left"/>
      </w:pPr>
      <w:r>
        <w:rPr>
          <w:rFonts w:eastAsia="等线" w:ascii="Arial" w:cs="Arial" w:hAnsi="Arial"/>
          <w:b w:val="true"/>
          <w:sz w:val="22"/>
        </w:rPr>
        <w:t>检测单位</w:t>
      </w:r>
      <w:r>
        <w:rPr>
          <w:rFonts w:eastAsia="等线" w:ascii="Arial" w:cs="Arial" w:hAnsi="Arial"/>
          <w:sz w:val="22"/>
        </w:rPr>
        <w:t>：安徽建筑大学 建筑结构检测中心</w:t>
      </w:r>
    </w:p>
    <w:p>
      <w:pPr>
        <w:spacing w:before="120" w:after="120" w:line="288" w:lineRule="auto"/>
        <w:ind w:left="0"/>
        <w:jc w:val="left"/>
      </w:pPr>
      <w:r>
        <w:rPr>
          <w:rFonts w:eastAsia="等线" w:ascii="Arial" w:cs="Arial" w:hAnsi="Arial"/>
          <w:b w:val="true"/>
          <w:sz w:val="22"/>
        </w:rPr>
        <w:t>报告编号</w:t>
      </w:r>
      <w:r>
        <w:rPr>
          <w:rFonts w:eastAsia="等线" w:ascii="Arial" w:cs="Arial" w:hAnsi="Arial"/>
          <w:sz w:val="22"/>
        </w:rPr>
        <w:t>：JC-2026-0322-001</w:t>
      </w:r>
    </w:p>
    <w:p>
      <w:pPr>
        <w:spacing w:before="120" w:after="120" w:line="288" w:lineRule="auto"/>
        <w:ind w:left="0"/>
        <w:jc w:val="left"/>
      </w:pPr>
      <w:r>
        <w:rPr>
          <w:rFonts w:eastAsia="等线" w:ascii="Arial" w:cs="Arial" w:hAnsi="Arial"/>
          <w:b w:val="true"/>
          <w:sz w:val="22"/>
        </w:rPr>
        <w:t>检测日期</w:t>
      </w:r>
      <w:r>
        <w:rPr>
          <w:rFonts w:eastAsia="等线" w:ascii="Arial" w:cs="Arial" w:hAnsi="Arial"/>
          <w:sz w:val="22"/>
        </w:rPr>
        <w:t>：2026年3月20日—2026年3月22日</w:t>
      </w:r>
    </w:p>
    <w:p>
      <w:pPr>
        <w:spacing w:before="120" w:after="120" w:line="288" w:lineRule="auto"/>
        <w:ind w:left="0"/>
        <w:jc w:val="left"/>
      </w:pPr>
      <w:r>
        <w:rPr>
          <w:rFonts w:eastAsia="等线" w:ascii="Arial" w:cs="Arial" w:hAnsi="Arial"/>
          <w:b w:val="true"/>
          <w:sz w:val="22"/>
        </w:rPr>
        <w:t>委托单位</w:t>
      </w:r>
      <w:r>
        <w:rPr>
          <w:rFonts w:eastAsia="等线" w:ascii="Arial" w:cs="Arial" w:hAnsi="Arial"/>
          <w:sz w:val="22"/>
        </w:rPr>
        <w:t>：安徽建筑大学 建筑与规划学院</w:t>
      </w:r>
    </w:p>
    <w:p>
      <w:pPr>
        <w:spacing w:before="120" w:after="120" w:line="288" w:lineRule="auto"/>
        <w:ind w:left="0"/>
        <w:jc w:val="left"/>
      </w:pPr>
      <w:r>
        <w:rPr>
          <w:rFonts w:eastAsia="等线" w:ascii="Arial" w:cs="Arial" w:hAnsi="Arial"/>
          <w:b w:val="true"/>
          <w:sz w:val="22"/>
        </w:rPr>
        <w:t>检测人员</w:t>
      </w:r>
      <w:r>
        <w:rPr>
          <w:rFonts w:eastAsia="等线" w:ascii="Arial" w:cs="Arial" w:hAnsi="Arial"/>
          <w:sz w:val="22"/>
        </w:rPr>
        <w:t>：张磊、王浩</w:t>
      </w:r>
    </w:p>
    <w:p>
      <w:pPr>
        <w:spacing w:before="120" w:after="120" w:line="288" w:lineRule="auto"/>
        <w:ind w:left="0"/>
        <w:jc w:val="left"/>
      </w:pPr>
      <w:r>
        <w:rPr>
          <w:rFonts w:eastAsia="等线" w:ascii="Arial" w:cs="Arial" w:hAnsi="Arial"/>
          <w:b w:val="true"/>
          <w:sz w:val="22"/>
        </w:rPr>
        <w:t>审核人</w:t>
      </w:r>
      <w:r>
        <w:rPr>
          <w:rFonts w:eastAsia="等线" w:ascii="Arial" w:cs="Arial" w:hAnsi="Arial"/>
          <w:sz w:val="22"/>
        </w:rPr>
        <w:t>：李建国</w:t>
      </w:r>
    </w:p>
    <w:p>
      <w:pPr>
        <w:spacing w:before="120" w:after="120" w:line="288" w:lineRule="auto"/>
        <w:ind w:left="0"/>
        <w:jc w:val="left"/>
      </w:pPr>
      <w:r>
        <w:rPr>
          <w:rFonts w:eastAsia="等线" w:ascii="Arial" w:cs="Arial" w:hAnsi="Arial"/>
          <w:b w:val="true"/>
          <w:sz w:val="22"/>
        </w:rPr>
        <w:t>批准人</w:t>
      </w:r>
      <w:r>
        <w:rPr>
          <w:rFonts w:eastAsia="等线" w:ascii="Arial" w:cs="Arial" w:hAnsi="Arial"/>
          <w:sz w:val="22"/>
        </w:rPr>
        <w:t>：赵伟</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0" w:id="0"/>
      <w:r>
        <w:rPr>
          <w:rFonts w:eastAsia="等线" w:ascii="Arial" w:cs="Arial" w:hAnsi="Arial"/>
          <w:b w:val="true"/>
          <w:sz w:val="32"/>
        </w:rPr>
        <w:t>一、工程概况</w:t>
      </w:r>
      <w:bookmarkEnd w:id="0"/>
    </w:p>
    <w:p>
      <w:pPr>
        <w:spacing w:before="120" w:after="120" w:line="288" w:lineRule="auto"/>
        <w:ind w:left="0"/>
        <w:jc w:val="left"/>
      </w:pPr>
      <w:r>
        <w:rPr>
          <w:rFonts w:eastAsia="等线" w:ascii="Arial" w:cs="Arial" w:hAnsi="Arial"/>
          <w:sz w:val="22"/>
        </w:rPr>
        <w:t>本项目为</w:t>
      </w:r>
      <w:r>
        <w:rPr>
          <w:rFonts w:eastAsia="等线" w:ascii="Arial" w:cs="Arial" w:hAnsi="Arial"/>
          <w:b w:val="true"/>
          <w:sz w:val="22"/>
        </w:rPr>
        <w:t>新建城市会客厅建筑</w:t>
      </w:r>
      <w:r>
        <w:rPr>
          <w:rFonts w:eastAsia="等线" w:ascii="Arial" w:cs="Arial" w:hAnsi="Arial"/>
          <w:sz w:val="22"/>
        </w:rPr>
        <w:t>，无既有旧建筑本体，本次检测为对项目借鉴的徽派典型旧建筑（合肥地区清代民居，建筑面积210㎡，砖木结构，地上2层）进行结构性能检测，为本次新建项目的结构设计与旧建筑资源利用提供技术依据。</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1" w:id="1"/>
      <w:r>
        <w:rPr>
          <w:rFonts w:eastAsia="等线" w:ascii="Arial" w:cs="Arial" w:hAnsi="Arial"/>
          <w:b w:val="true"/>
          <w:sz w:val="32"/>
        </w:rPr>
        <w:t>二、检测目的与依据</w:t>
      </w:r>
      <w:bookmarkEnd w:id="1"/>
    </w:p>
    <w:p>
      <w:pPr>
        <w:pStyle w:val="3"/>
        <w:spacing w:before="300" w:after="120" w:line="288" w:lineRule="auto"/>
        <w:ind w:left="0"/>
        <w:jc w:val="left"/>
        <w:outlineLvl w:val="2"/>
      </w:pPr>
      <w:bookmarkStart w:name="heading_2" w:id="2"/>
      <w:r>
        <w:rPr>
          <w:rFonts w:eastAsia="等线" w:ascii="Arial" w:cs="Arial" w:hAnsi="Arial"/>
          <w:b w:val="true"/>
          <w:sz w:val="30"/>
        </w:rPr>
        <w:t>（一）检测目的</w:t>
      </w:r>
      <w:bookmarkEnd w:id="2"/>
    </w:p>
    <w:p>
      <w:pPr>
        <w:numPr>
          <w:numId w:val="1"/>
        </w:numPr>
        <w:spacing w:before="120" w:after="120" w:line="288" w:lineRule="auto"/>
        <w:ind w:left="0"/>
        <w:jc w:val="left"/>
      </w:pPr>
      <w:r>
        <w:rPr>
          <w:rFonts w:eastAsia="等线" w:ascii="Arial" w:cs="Arial" w:hAnsi="Arial"/>
          <w:sz w:val="22"/>
        </w:rPr>
        <w:t>查明旧建筑的结构形式、构件布置与材料性能。</w:t>
      </w:r>
    </w:p>
    <w:p>
      <w:pPr>
        <w:numPr>
          <w:numId w:val="2"/>
        </w:numPr>
        <w:spacing w:before="120" w:after="120" w:line="288" w:lineRule="auto"/>
        <w:ind w:left="0"/>
        <w:jc w:val="left"/>
      </w:pPr>
      <w:r>
        <w:rPr>
          <w:rFonts w:eastAsia="等线" w:ascii="Arial" w:cs="Arial" w:hAnsi="Arial"/>
          <w:sz w:val="22"/>
        </w:rPr>
        <w:t>评估旧建筑的结构安全性、耐久性与承载能力。</w:t>
      </w:r>
    </w:p>
    <w:p>
      <w:pPr>
        <w:numPr>
          <w:numId w:val="3"/>
        </w:numPr>
        <w:spacing w:before="120" w:after="120" w:line="288" w:lineRule="auto"/>
        <w:ind w:left="0"/>
        <w:jc w:val="left"/>
      </w:pPr>
      <w:r>
        <w:rPr>
          <w:rFonts w:eastAsia="等线" w:ascii="Arial" w:cs="Arial" w:hAnsi="Arial"/>
          <w:sz w:val="22"/>
        </w:rPr>
        <w:t>为本次新建项目的结构设计、旧建筑资源利用提供技术支撑。</w:t>
      </w:r>
    </w:p>
    <w:p>
      <w:pPr>
        <w:pStyle w:val="3"/>
        <w:spacing w:before="300" w:after="120" w:line="288" w:lineRule="auto"/>
        <w:ind w:left="0"/>
        <w:jc w:val="left"/>
        <w:outlineLvl w:val="2"/>
      </w:pPr>
      <w:bookmarkStart w:name="heading_3" w:id="3"/>
      <w:r>
        <w:rPr>
          <w:rFonts w:eastAsia="等线" w:ascii="Arial" w:cs="Arial" w:hAnsi="Arial"/>
          <w:b w:val="true"/>
          <w:sz w:val="30"/>
        </w:rPr>
        <w:t>（二）检测依据</w:t>
      </w:r>
      <w:bookmarkEnd w:id="3"/>
    </w:p>
    <w:p>
      <w:pPr>
        <w:numPr>
          <w:numId w:val="4"/>
        </w:numPr>
        <w:spacing w:before="120" w:after="120" w:line="288" w:lineRule="auto"/>
        <w:ind w:left="0"/>
        <w:jc w:val="left"/>
      </w:pPr>
      <w:r>
        <w:rPr>
          <w:rFonts w:eastAsia="等线" w:ascii="Arial" w:cs="Arial" w:hAnsi="Arial"/>
          <w:sz w:val="22"/>
        </w:rPr>
        <w:t>《建筑结构检测技术标准》GB/T 50344-2019</w:t>
      </w:r>
    </w:p>
    <w:p>
      <w:pPr>
        <w:numPr>
          <w:numId w:val="5"/>
        </w:numPr>
        <w:spacing w:before="120" w:after="120" w:line="288" w:lineRule="auto"/>
        <w:ind w:left="0"/>
        <w:jc w:val="left"/>
      </w:pPr>
      <w:r>
        <w:rPr>
          <w:rFonts w:eastAsia="等线" w:ascii="Arial" w:cs="Arial" w:hAnsi="Arial"/>
          <w:sz w:val="22"/>
        </w:rPr>
        <w:t>《木结构工程施工质量验收规范》GB 50206-2012</w:t>
      </w:r>
    </w:p>
    <w:p>
      <w:pPr>
        <w:numPr>
          <w:numId w:val="6"/>
        </w:numPr>
        <w:spacing w:before="120" w:after="120" w:line="288" w:lineRule="auto"/>
        <w:ind w:left="0"/>
        <w:jc w:val="left"/>
      </w:pPr>
      <w:r>
        <w:rPr>
          <w:rFonts w:eastAsia="等线" w:ascii="Arial" w:cs="Arial" w:hAnsi="Arial"/>
          <w:sz w:val="22"/>
        </w:rPr>
        <w:t>《砌体结构工程施工质量验收规范》GB 50203-2011</w:t>
      </w:r>
    </w:p>
    <w:p>
      <w:pPr>
        <w:numPr>
          <w:numId w:val="7"/>
        </w:numPr>
        <w:spacing w:before="120" w:after="120" w:line="288" w:lineRule="auto"/>
        <w:ind w:left="0"/>
        <w:jc w:val="left"/>
      </w:pPr>
      <w:r>
        <w:rPr>
          <w:rFonts w:eastAsia="等线" w:ascii="Arial" w:cs="Arial" w:hAnsi="Arial"/>
          <w:sz w:val="22"/>
        </w:rPr>
        <w:t>《民用建筑可靠性鉴定标准》GB 50292-2015</w:t>
      </w:r>
    </w:p>
    <w:p>
      <w:pPr>
        <w:numPr>
          <w:numId w:val="8"/>
        </w:numPr>
        <w:spacing w:before="120" w:after="120" w:line="288" w:lineRule="auto"/>
        <w:ind w:left="0"/>
        <w:jc w:val="left"/>
      </w:pPr>
      <w:r>
        <w:rPr>
          <w:rFonts w:eastAsia="等线" w:ascii="Arial" w:cs="Arial" w:hAnsi="Arial"/>
          <w:sz w:val="22"/>
        </w:rPr>
        <w:t>旧建筑原始建筑图纸、历史修缮记录</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4" w:id="4"/>
      <w:r>
        <w:rPr>
          <w:rFonts w:eastAsia="等线" w:ascii="Arial" w:cs="Arial" w:hAnsi="Arial"/>
          <w:b w:val="true"/>
          <w:sz w:val="32"/>
        </w:rPr>
        <w:t>三、检测内容与方法</w:t>
      </w:r>
      <w:bookmarkEnd w:id="4"/>
    </w:p>
    <w:p>
      <w:pPr>
        <w:pStyle w:val="3"/>
        <w:spacing w:before="300" w:after="120" w:line="288" w:lineRule="auto"/>
        <w:ind w:left="0"/>
        <w:jc w:val="left"/>
        <w:outlineLvl w:val="2"/>
      </w:pPr>
      <w:bookmarkStart w:name="heading_5" w:id="5"/>
      <w:r>
        <w:rPr>
          <w:rFonts w:eastAsia="等线" w:ascii="Arial" w:cs="Arial" w:hAnsi="Arial"/>
          <w:b w:val="true"/>
          <w:sz w:val="30"/>
        </w:rPr>
        <w:t>（一）现场检测内容</w:t>
      </w:r>
      <w:bookmarkEnd w:id="5"/>
    </w:p>
    <w:p>
      <w:pPr>
        <w:numPr>
          <w:numId w:val="9"/>
        </w:numPr>
        <w:spacing w:before="120" w:after="120" w:line="288" w:lineRule="auto"/>
        <w:ind w:left="0"/>
        <w:jc w:val="left"/>
      </w:pPr>
      <w:r>
        <w:rPr>
          <w:rFonts w:eastAsia="等线" w:ascii="Arial" w:cs="Arial" w:hAnsi="Arial"/>
          <w:b w:val="true"/>
          <w:sz w:val="22"/>
        </w:rPr>
        <w:t>结构体系调查</w:t>
      </w:r>
      <w:r>
        <w:rPr>
          <w:rFonts w:eastAsia="等线" w:ascii="Arial" w:cs="Arial" w:hAnsi="Arial"/>
          <w:sz w:val="22"/>
        </w:rPr>
        <w:t>：核查建筑平面、立面、剖面，确认结构形式与构件布置。</w:t>
      </w:r>
    </w:p>
    <w:p>
      <w:pPr>
        <w:numPr>
          <w:numId w:val="10"/>
        </w:numPr>
        <w:spacing w:before="120" w:after="120" w:line="288" w:lineRule="auto"/>
        <w:ind w:left="0"/>
        <w:jc w:val="left"/>
      </w:pPr>
      <w:r>
        <w:rPr>
          <w:rFonts w:eastAsia="等线" w:ascii="Arial" w:cs="Arial" w:hAnsi="Arial"/>
          <w:b w:val="true"/>
          <w:sz w:val="22"/>
        </w:rPr>
        <w:t>材料性能检测</w:t>
      </w:r>
      <w:r>
        <w:rPr>
          <w:rFonts w:eastAsia="等线" w:ascii="Arial" w:cs="Arial" w:hAnsi="Arial"/>
          <w:sz w:val="22"/>
        </w:rPr>
        <w:t>：</w:t>
      </w:r>
    </w:p>
    <w:p>
      <w:pPr>
        <w:numPr>
          <w:numId w:val="11"/>
        </w:numPr>
        <w:spacing w:before="120" w:after="120" w:line="288" w:lineRule="auto"/>
        <w:ind w:left="453"/>
        <w:jc w:val="left"/>
      </w:pPr>
      <w:r>
        <w:rPr>
          <w:rFonts w:eastAsia="等线" w:ascii="Arial" w:cs="Arial" w:hAnsi="Arial"/>
          <w:sz w:val="22"/>
        </w:rPr>
        <w:t>木材：采用木材含水率测定仪、木材强度试验机检测含水率、顺纹抗压强度、抗弯强度。</w:t>
      </w:r>
    </w:p>
    <w:p>
      <w:pPr>
        <w:numPr>
          <w:numId w:val="12"/>
        </w:numPr>
        <w:spacing w:before="120" w:after="120" w:line="288" w:lineRule="auto"/>
        <w:ind w:left="453"/>
        <w:jc w:val="left"/>
      </w:pPr>
      <w:r>
        <w:rPr>
          <w:rFonts w:eastAsia="等线" w:ascii="Arial" w:cs="Arial" w:hAnsi="Arial"/>
          <w:sz w:val="22"/>
        </w:rPr>
        <w:t>砖砌体：采用回弹法检测烧结砖强度，贯入法检测砌筑砂浆强度。</w:t>
      </w:r>
    </w:p>
    <w:p>
      <w:pPr>
        <w:numPr>
          <w:numId w:val="13"/>
        </w:numPr>
        <w:spacing w:before="120" w:after="120" w:line="288" w:lineRule="auto"/>
        <w:ind w:left="0"/>
        <w:jc w:val="left"/>
      </w:pPr>
      <w:r>
        <w:rPr>
          <w:rFonts w:eastAsia="等线" w:ascii="Arial" w:cs="Arial" w:hAnsi="Arial"/>
          <w:b w:val="true"/>
          <w:sz w:val="22"/>
        </w:rPr>
        <w:t>构件损伤检测</w:t>
      </w:r>
      <w:r>
        <w:rPr>
          <w:rFonts w:eastAsia="等线" w:ascii="Arial" w:cs="Arial" w:hAnsi="Arial"/>
          <w:sz w:val="22"/>
        </w:rPr>
        <w:t>：采用肉眼观察、超声波探伤、裂缝宽度仪检测木构件、砖砌体的裂缝、变形、腐朽、虫蛀等损伤情况。</w:t>
      </w:r>
    </w:p>
    <w:p>
      <w:pPr>
        <w:numPr>
          <w:numId w:val="14"/>
        </w:numPr>
        <w:spacing w:before="120" w:after="120" w:line="288" w:lineRule="auto"/>
        <w:ind w:left="0"/>
        <w:jc w:val="left"/>
      </w:pPr>
      <w:r>
        <w:rPr>
          <w:rFonts w:eastAsia="等线" w:ascii="Arial" w:cs="Arial" w:hAnsi="Arial"/>
          <w:b w:val="true"/>
          <w:sz w:val="22"/>
        </w:rPr>
        <w:t>结构变形检测</w:t>
      </w:r>
      <w:r>
        <w:rPr>
          <w:rFonts w:eastAsia="等线" w:ascii="Arial" w:cs="Arial" w:hAnsi="Arial"/>
          <w:sz w:val="22"/>
        </w:rPr>
        <w:t>：采用全站仪、水准仪检测建筑整体倾斜、楼面挠度与构件变形。</w:t>
      </w:r>
    </w:p>
    <w:p>
      <w:pPr>
        <w:pStyle w:val="3"/>
        <w:spacing w:before="300" w:after="120" w:line="288" w:lineRule="auto"/>
        <w:ind w:left="0"/>
        <w:jc w:val="left"/>
        <w:outlineLvl w:val="2"/>
      </w:pPr>
      <w:bookmarkStart w:name="heading_6" w:id="6"/>
      <w:r>
        <w:rPr>
          <w:rFonts w:eastAsia="等线" w:ascii="Arial" w:cs="Arial" w:hAnsi="Arial"/>
          <w:b w:val="true"/>
          <w:sz w:val="30"/>
        </w:rPr>
        <w:t>（二）实验室检测内容</w:t>
      </w:r>
      <w:bookmarkEnd w:id="6"/>
    </w:p>
    <w:p>
      <w:pPr>
        <w:spacing w:before="120" w:after="120" w:line="288" w:lineRule="auto"/>
        <w:ind w:left="0"/>
        <w:jc w:val="left"/>
      </w:pPr>
      <w:r>
        <w:rPr>
          <w:rFonts w:eastAsia="等线" w:ascii="Arial" w:cs="Arial" w:hAnsi="Arial"/>
          <w:sz w:val="22"/>
        </w:rPr>
        <w:t>对现场抽取的木材、砖、砂浆试样进行力学性能试验，验证现场检测结果。</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7" w:id="7"/>
      <w:r>
        <w:rPr>
          <w:rFonts w:eastAsia="等线" w:ascii="Arial" w:cs="Arial" w:hAnsi="Arial"/>
          <w:b w:val="true"/>
          <w:sz w:val="32"/>
        </w:rPr>
        <w:t>四、检测结果与分析</w:t>
      </w:r>
      <w:bookmarkEnd w:id="7"/>
    </w:p>
    <w:p>
      <w:pPr>
        <w:pStyle w:val="3"/>
        <w:spacing w:before="300" w:after="120" w:line="288" w:lineRule="auto"/>
        <w:ind w:left="0"/>
        <w:jc w:val="left"/>
        <w:outlineLvl w:val="2"/>
      </w:pPr>
      <w:bookmarkStart w:name="heading_8" w:id="8"/>
      <w:r>
        <w:rPr>
          <w:rFonts w:eastAsia="等线" w:ascii="Arial" w:cs="Arial" w:hAnsi="Arial"/>
          <w:b w:val="true"/>
          <w:sz w:val="30"/>
        </w:rPr>
        <w:t>（一）结构体系</w:t>
      </w:r>
      <w:bookmarkEnd w:id="8"/>
    </w:p>
    <w:p>
      <w:pPr>
        <w:numPr>
          <w:numId w:val="15"/>
        </w:numPr>
        <w:spacing w:before="120" w:after="120" w:line="288" w:lineRule="auto"/>
        <w:ind w:left="0"/>
        <w:jc w:val="left"/>
      </w:pPr>
      <w:r>
        <w:rPr>
          <w:rFonts w:eastAsia="等线" w:ascii="Arial" w:cs="Arial" w:hAnsi="Arial"/>
          <w:sz w:val="22"/>
        </w:rPr>
        <w:t>结构形式：砖木结构，木构架为穿斗式与抬梁式结合，墙体为承重烧结粘土砖墙，屋面为木椽+小青瓦。</w:t>
      </w:r>
    </w:p>
    <w:p>
      <w:pPr>
        <w:numPr>
          <w:numId w:val="16"/>
        </w:numPr>
        <w:spacing w:before="120" w:after="120" w:line="288" w:lineRule="auto"/>
        <w:ind w:left="0"/>
        <w:jc w:val="left"/>
      </w:pPr>
      <w:r>
        <w:rPr>
          <w:rFonts w:eastAsia="等线" w:ascii="Arial" w:cs="Arial" w:hAnsi="Arial"/>
          <w:sz w:val="22"/>
        </w:rPr>
        <w:t>平面尺寸：面阔10.5m，进深20.0m，柱网间距3.0m~3.5m。</w:t>
      </w:r>
    </w:p>
    <w:p>
      <w:pPr>
        <w:pStyle w:val="3"/>
        <w:spacing w:before="300" w:after="120" w:line="288" w:lineRule="auto"/>
        <w:ind w:left="0"/>
        <w:jc w:val="left"/>
        <w:outlineLvl w:val="2"/>
      </w:pPr>
      <w:bookmarkStart w:name="heading_9" w:id="9"/>
      <w:r>
        <w:rPr>
          <w:rFonts w:eastAsia="等线" w:ascii="Arial" w:cs="Arial" w:hAnsi="Arial"/>
          <w:b w:val="true"/>
          <w:sz w:val="30"/>
        </w:rPr>
        <w:t>（二）材料性能检测结果</w:t>
      </w:r>
      <w:bookmarkEnd w:id="9"/>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650"/>
        <w:gridCol w:w="1650"/>
        <w:gridCol w:w="1650"/>
        <w:gridCol w:w="1650"/>
        <w:gridCol w:w="1650"/>
      </w:tblGrid>
      <w:tr>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构件类型</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检测项目</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检测结果</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规范要求</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结论</w:t>
            </w:r>
          </w:p>
        </w:tc>
      </w:tr>
      <w:tr>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木柱/梁</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含水率</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16.2%~18.5%</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符合要求</w:t>
            </w:r>
          </w:p>
        </w:tc>
      </w:tr>
      <w:tr>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木柱/梁</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顺纹抗压强度</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28.5MPa~32.1MPa</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≥25MPa</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符合要求</w:t>
            </w:r>
          </w:p>
        </w:tc>
      </w:tr>
      <w:tr>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木柱/梁</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抗弯强度</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45.2MPa~51.3MPa</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≥40MPa</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符合要求</w:t>
            </w:r>
          </w:p>
        </w:tc>
      </w:tr>
      <w:tr>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烧结砖墙</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砖强度等级</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MU10</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≥MU10</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符合要求</w:t>
            </w:r>
          </w:p>
        </w:tc>
      </w:tr>
      <w:tr>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砌筑砂浆</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砂浆强度等级</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M5</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≥M5</w:t>
            </w:r>
          </w:p>
        </w:tc>
        <w:tc>
          <w:tcPr>
            <w:tcW w:w="16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符合要求</w:t>
            </w:r>
          </w:p>
        </w:tc>
      </w:tr>
    </w:tbl>
    <w:p>
      <w:pPr>
        <w:pStyle w:val="3"/>
        <w:spacing w:before="300" w:after="120" w:line="288" w:lineRule="auto"/>
        <w:ind w:left="0"/>
        <w:jc w:val="left"/>
        <w:outlineLvl w:val="2"/>
      </w:pPr>
      <w:bookmarkStart w:name="heading_10" w:id="10"/>
      <w:r>
        <w:rPr>
          <w:rFonts w:eastAsia="等线" w:ascii="Arial" w:cs="Arial" w:hAnsi="Arial"/>
          <w:b w:val="true"/>
          <w:sz w:val="30"/>
        </w:rPr>
        <w:t>（三）构件损伤检测结果</w:t>
      </w:r>
      <w:bookmarkEnd w:id="10"/>
    </w:p>
    <w:p>
      <w:pPr>
        <w:numPr>
          <w:numId w:val="17"/>
        </w:numPr>
        <w:spacing w:before="120" w:after="120" w:line="288" w:lineRule="auto"/>
        <w:ind w:left="0"/>
        <w:jc w:val="left"/>
      </w:pPr>
      <w:r>
        <w:rPr>
          <w:rFonts w:eastAsia="等线" w:ascii="Arial" w:cs="Arial" w:hAnsi="Arial"/>
          <w:b w:val="true"/>
          <w:sz w:val="22"/>
        </w:rPr>
        <w:t>木构件</w:t>
      </w:r>
      <w:r>
        <w:rPr>
          <w:rFonts w:eastAsia="等线" w:ascii="Arial" w:cs="Arial" w:hAnsi="Arial"/>
          <w:sz w:val="22"/>
        </w:rPr>
        <w:t>：</w:t>
      </w:r>
    </w:p>
    <w:p>
      <w:pPr>
        <w:numPr>
          <w:numId w:val="18"/>
        </w:numPr>
        <w:spacing w:before="120" w:after="120" w:line="288" w:lineRule="auto"/>
        <w:ind w:left="453"/>
        <w:jc w:val="left"/>
      </w:pPr>
      <w:r>
        <w:rPr>
          <w:rFonts w:eastAsia="等线" w:ascii="Arial" w:cs="Arial" w:hAnsi="Arial"/>
          <w:sz w:val="22"/>
        </w:rPr>
        <w:t>局部梁端、柱脚存在轻微腐朽（深度≤20mm），无明显虫蛀，裂缝宽度≤0.3mm，未影响结构承载。</w:t>
      </w:r>
    </w:p>
    <w:p>
      <w:pPr>
        <w:numPr>
          <w:numId w:val="19"/>
        </w:numPr>
        <w:spacing w:before="120" w:after="120" w:line="288" w:lineRule="auto"/>
        <w:ind w:left="453"/>
        <w:jc w:val="left"/>
      </w:pPr>
      <w:r>
        <w:rPr>
          <w:rFonts w:eastAsia="等线" w:ascii="Arial" w:cs="Arial" w:hAnsi="Arial"/>
          <w:sz w:val="22"/>
        </w:rPr>
        <w:t>木椽、檩条基本完好，无明显变形与断裂。</w:t>
      </w:r>
    </w:p>
    <w:p>
      <w:pPr>
        <w:numPr>
          <w:numId w:val="20"/>
        </w:numPr>
        <w:spacing w:before="120" w:after="120" w:line="288" w:lineRule="auto"/>
        <w:ind w:left="0"/>
        <w:jc w:val="left"/>
      </w:pPr>
      <w:r>
        <w:rPr>
          <w:rFonts w:eastAsia="等线" w:ascii="Arial" w:cs="Arial" w:hAnsi="Arial"/>
          <w:b w:val="true"/>
          <w:sz w:val="22"/>
        </w:rPr>
        <w:t>砖砌体</w:t>
      </w:r>
      <w:r>
        <w:rPr>
          <w:rFonts w:eastAsia="等线" w:ascii="Arial" w:cs="Arial" w:hAnsi="Arial"/>
          <w:sz w:val="22"/>
        </w:rPr>
        <w:t>：</w:t>
      </w:r>
    </w:p>
    <w:p>
      <w:pPr>
        <w:numPr>
          <w:numId w:val="21"/>
        </w:numPr>
        <w:spacing w:before="120" w:after="120" w:line="288" w:lineRule="auto"/>
        <w:ind w:left="453"/>
        <w:jc w:val="left"/>
      </w:pPr>
      <w:r>
        <w:rPr>
          <w:rFonts w:eastAsia="等线" w:ascii="Arial" w:cs="Arial" w:hAnsi="Arial"/>
          <w:sz w:val="22"/>
        </w:rPr>
        <w:t>局部墙体存在竖向裂缝（宽度≤0.5mm），为干缩裂缝，无发展趋势；水平裂缝极少，未发现通缝、瞎缝。</w:t>
      </w:r>
    </w:p>
    <w:p>
      <w:pPr>
        <w:numPr>
          <w:numId w:val="22"/>
        </w:numPr>
        <w:spacing w:before="120" w:after="120" w:line="288" w:lineRule="auto"/>
        <w:ind w:left="453"/>
        <w:jc w:val="left"/>
      </w:pPr>
      <w:r>
        <w:rPr>
          <w:rFonts w:eastAsia="等线" w:ascii="Arial" w:cs="Arial" w:hAnsi="Arial"/>
          <w:sz w:val="22"/>
        </w:rPr>
        <w:t>墙角、窗洞处局部酥碱，面积≤5%，未影响墙体整体性。</w:t>
      </w:r>
    </w:p>
    <w:p>
      <w:pPr>
        <w:pStyle w:val="3"/>
        <w:spacing w:before="300" w:after="120" w:line="288" w:lineRule="auto"/>
        <w:ind w:left="0"/>
        <w:jc w:val="left"/>
        <w:outlineLvl w:val="2"/>
      </w:pPr>
      <w:bookmarkStart w:name="heading_11" w:id="11"/>
      <w:r>
        <w:rPr>
          <w:rFonts w:eastAsia="等线" w:ascii="Arial" w:cs="Arial" w:hAnsi="Arial"/>
          <w:b w:val="true"/>
          <w:sz w:val="30"/>
        </w:rPr>
        <w:t>（四）结构变形检测结果</w:t>
      </w:r>
      <w:bookmarkEnd w:id="11"/>
    </w:p>
    <w:p>
      <w:pPr>
        <w:numPr>
          <w:numId w:val="23"/>
        </w:numPr>
        <w:spacing w:before="120" w:after="120" w:line="288" w:lineRule="auto"/>
        <w:ind w:left="0"/>
        <w:jc w:val="left"/>
      </w:pPr>
      <w:r>
        <w:rPr>
          <w:rFonts w:eastAsia="等线" w:ascii="Arial" w:cs="Arial" w:hAnsi="Arial"/>
          <w:sz w:val="22"/>
        </w:rPr>
        <w:t>整体倾斜：最大倾斜值为2.1‰，小于规范限值（3‰），符合要求。</w:t>
      </w:r>
    </w:p>
    <w:p>
      <w:pPr>
        <w:numPr>
          <w:numId w:val="24"/>
        </w:numPr>
        <w:spacing w:before="120" w:after="120" w:line="288" w:lineRule="auto"/>
        <w:ind w:left="0"/>
        <w:jc w:val="left"/>
      </w:pPr>
      <w:r>
        <w:rPr>
          <w:rFonts w:eastAsia="等线" w:ascii="Arial" w:cs="Arial" w:hAnsi="Arial"/>
          <w:sz w:val="22"/>
        </w:rPr>
        <w:t>楼面挠度：最大挠度为L/350（L为跨度），小于规范限值（L/250），符合要求。</w:t>
      </w:r>
    </w:p>
    <w:p>
      <w:pPr>
        <w:numPr>
          <w:numId w:val="25"/>
        </w:numPr>
        <w:spacing w:before="120" w:after="120" w:line="288" w:lineRule="auto"/>
        <w:ind w:left="0"/>
        <w:jc w:val="left"/>
      </w:pPr>
      <w:r>
        <w:rPr>
          <w:rFonts w:eastAsia="等线" w:ascii="Arial" w:cs="Arial" w:hAnsi="Arial"/>
          <w:sz w:val="22"/>
        </w:rPr>
        <w:t>构件变形：木梁最大挠度为L/320，木柱无明显侧移，符合要求。</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12" w:id="12"/>
      <w:r>
        <w:rPr>
          <w:rFonts w:eastAsia="等线" w:ascii="Arial" w:cs="Arial" w:hAnsi="Arial"/>
          <w:b w:val="true"/>
          <w:sz w:val="32"/>
        </w:rPr>
        <w:t>五、结构安全性评估</w:t>
      </w:r>
      <w:bookmarkEnd w:id="12"/>
    </w:p>
    <w:p>
      <w:pPr>
        <w:numPr>
          <w:numId w:val="26"/>
        </w:numPr>
        <w:spacing w:before="120" w:after="120" w:line="288" w:lineRule="auto"/>
        <w:ind w:left="0"/>
        <w:jc w:val="left"/>
      </w:pPr>
      <w:r>
        <w:rPr>
          <w:rFonts w:eastAsia="等线" w:ascii="Arial" w:cs="Arial" w:hAnsi="Arial"/>
          <w:b w:val="true"/>
          <w:sz w:val="22"/>
        </w:rPr>
        <w:t>承载能力</w:t>
      </w:r>
      <w:r>
        <w:rPr>
          <w:rFonts w:eastAsia="等线" w:ascii="Arial" w:cs="Arial" w:hAnsi="Arial"/>
          <w:sz w:val="22"/>
        </w:rPr>
        <w:t>：木构架与砖砌体构件的材料强度、截面尺寸均满足现行规范承载能力要求，局部轻微损伤未显著降低构件承载力。</w:t>
      </w:r>
    </w:p>
    <w:p>
      <w:pPr>
        <w:numPr>
          <w:numId w:val="27"/>
        </w:numPr>
        <w:spacing w:before="120" w:after="120" w:line="288" w:lineRule="auto"/>
        <w:ind w:left="0"/>
        <w:jc w:val="left"/>
      </w:pPr>
      <w:r>
        <w:rPr>
          <w:rFonts w:eastAsia="等线" w:ascii="Arial" w:cs="Arial" w:hAnsi="Arial"/>
          <w:b w:val="true"/>
          <w:sz w:val="22"/>
        </w:rPr>
        <w:t>整体稳定性</w:t>
      </w:r>
      <w:r>
        <w:rPr>
          <w:rFonts w:eastAsia="等线" w:ascii="Arial" w:cs="Arial" w:hAnsi="Arial"/>
          <w:sz w:val="22"/>
        </w:rPr>
        <w:t>：结构整体变形可控，无明显倾斜与失稳迹象，木构架与砖墙连接可靠，整体稳定性良好。</w:t>
      </w:r>
    </w:p>
    <w:p>
      <w:pPr>
        <w:numPr>
          <w:numId w:val="28"/>
        </w:numPr>
        <w:spacing w:before="120" w:after="120" w:line="288" w:lineRule="auto"/>
        <w:ind w:left="0"/>
        <w:jc w:val="left"/>
      </w:pPr>
      <w:r>
        <w:rPr>
          <w:rFonts w:eastAsia="等线" w:ascii="Arial" w:cs="Arial" w:hAnsi="Arial"/>
          <w:b w:val="true"/>
          <w:sz w:val="22"/>
        </w:rPr>
        <w:t>耐久性</w:t>
      </w:r>
      <w:r>
        <w:rPr>
          <w:rFonts w:eastAsia="等线" w:ascii="Arial" w:cs="Arial" w:hAnsi="Arial"/>
          <w:sz w:val="22"/>
        </w:rPr>
        <w:t>：木构件腐朽、砖砌体酥碱等损伤程度较轻，在采取修缮加固措施后可满足继续使用要求，耐久性较好。</w:t>
      </w:r>
    </w:p>
    <w:p>
      <w:pPr>
        <w:spacing w:before="120" w:after="120" w:line="288" w:lineRule="auto"/>
        <w:ind w:left="0"/>
        <w:jc w:val="left"/>
      </w:pPr>
      <w:r>
        <w:rPr>
          <w:rFonts w:eastAsia="等线" w:ascii="Arial" w:cs="Arial" w:hAnsi="Arial"/>
          <w:b w:val="true"/>
          <w:sz w:val="22"/>
        </w:rPr>
        <w:t>综合评估结论</w:t>
      </w:r>
      <w:r>
        <w:rPr>
          <w:rFonts w:eastAsia="等线" w:ascii="Arial" w:cs="Arial" w:hAnsi="Arial"/>
          <w:sz w:val="22"/>
        </w:rPr>
        <w:t>：该旧建筑结构安全性等级为</w:t>
      </w:r>
      <w:r>
        <w:rPr>
          <w:rFonts w:eastAsia="等线" w:ascii="Arial" w:cs="Arial" w:hAnsi="Arial"/>
          <w:b w:val="true"/>
          <w:sz w:val="22"/>
        </w:rPr>
        <w:t>B级（基本完好）</w:t>
      </w:r>
      <w:r>
        <w:rPr>
          <w:rFonts w:eastAsia="等线" w:ascii="Arial" w:cs="Arial" w:hAnsi="Arial"/>
          <w:sz w:val="22"/>
        </w:rPr>
        <w:t>，可在采取适当修缮加固措施后，作为结构资源进行保护性利用或为新建项目提供技术参考。</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13" w:id="13"/>
      <w:r>
        <w:rPr>
          <w:rFonts w:eastAsia="等线" w:ascii="Arial" w:cs="Arial" w:hAnsi="Arial"/>
          <w:b w:val="true"/>
          <w:sz w:val="32"/>
        </w:rPr>
        <w:t>六、修缮与利用建议</w:t>
      </w:r>
      <w:bookmarkEnd w:id="13"/>
    </w:p>
    <w:p>
      <w:pPr>
        <w:pStyle w:val="3"/>
        <w:spacing w:before="300" w:after="120" w:line="288" w:lineRule="auto"/>
        <w:ind w:left="0"/>
        <w:jc w:val="left"/>
        <w:outlineLvl w:val="2"/>
      </w:pPr>
      <w:bookmarkStart w:name="heading_14" w:id="14"/>
      <w:r>
        <w:rPr>
          <w:rFonts w:eastAsia="等线" w:ascii="Arial" w:cs="Arial" w:hAnsi="Arial"/>
          <w:b w:val="true"/>
          <w:sz w:val="30"/>
        </w:rPr>
        <w:t>（一）修缮加固建议</w:t>
      </w:r>
      <w:bookmarkEnd w:id="14"/>
    </w:p>
    <w:p>
      <w:pPr>
        <w:numPr>
          <w:numId w:val="29"/>
        </w:numPr>
        <w:spacing w:before="120" w:after="120" w:line="288" w:lineRule="auto"/>
        <w:ind w:left="0"/>
        <w:jc w:val="left"/>
      </w:pPr>
      <w:r>
        <w:rPr>
          <w:rFonts w:eastAsia="等线" w:ascii="Arial" w:cs="Arial" w:hAnsi="Arial"/>
          <w:sz w:val="22"/>
        </w:rPr>
        <w:t>对腐朽木构件进行局部替换或包钢加固，对裂缝木构件采用环氧树脂灌注修补。</w:t>
      </w:r>
    </w:p>
    <w:p>
      <w:pPr>
        <w:numPr>
          <w:numId w:val="30"/>
        </w:numPr>
        <w:spacing w:before="120" w:after="120" w:line="288" w:lineRule="auto"/>
        <w:ind w:left="0"/>
        <w:jc w:val="left"/>
      </w:pPr>
      <w:r>
        <w:rPr>
          <w:rFonts w:eastAsia="等线" w:ascii="Arial" w:cs="Arial" w:hAnsi="Arial"/>
          <w:sz w:val="22"/>
        </w:rPr>
        <w:t>对酥碱砖砌体进行剔补、勾缝处理，对竖向裂缝采用水泥砂浆封闭。</w:t>
      </w:r>
    </w:p>
    <w:p>
      <w:pPr>
        <w:numPr>
          <w:numId w:val="31"/>
        </w:numPr>
        <w:spacing w:before="120" w:after="120" w:line="288" w:lineRule="auto"/>
        <w:ind w:left="0"/>
        <w:jc w:val="left"/>
      </w:pPr>
      <w:r>
        <w:rPr>
          <w:rFonts w:eastAsia="等线" w:ascii="Arial" w:cs="Arial" w:hAnsi="Arial"/>
          <w:sz w:val="22"/>
        </w:rPr>
        <w:t>增设木构件防腐、防虫处理，提升耐久性。</w:t>
      </w:r>
    </w:p>
    <w:p>
      <w:pPr>
        <w:pStyle w:val="3"/>
        <w:spacing w:before="300" w:after="120" w:line="288" w:lineRule="auto"/>
        <w:ind w:left="0"/>
        <w:jc w:val="left"/>
        <w:outlineLvl w:val="2"/>
      </w:pPr>
      <w:bookmarkStart w:name="heading_15" w:id="15"/>
      <w:r>
        <w:rPr>
          <w:rFonts w:eastAsia="等线" w:ascii="Arial" w:cs="Arial" w:hAnsi="Arial"/>
          <w:b w:val="true"/>
          <w:sz w:val="30"/>
        </w:rPr>
        <w:t>（二）资源利用建议</w:t>
      </w:r>
      <w:bookmarkEnd w:id="15"/>
    </w:p>
    <w:p>
      <w:pPr>
        <w:numPr>
          <w:numId w:val="32"/>
        </w:numPr>
        <w:spacing w:before="120" w:after="120" w:line="288" w:lineRule="auto"/>
        <w:ind w:left="0"/>
        <w:jc w:val="left"/>
      </w:pPr>
      <w:r>
        <w:rPr>
          <w:rFonts w:eastAsia="等线" w:ascii="Arial" w:cs="Arial" w:hAnsi="Arial"/>
          <w:sz w:val="22"/>
        </w:rPr>
        <w:t>提取木构架的空间逻辑与受力体系，应用于本次新建项目的中庭木结构装饰与支撑体系。</w:t>
      </w:r>
    </w:p>
    <w:p>
      <w:pPr>
        <w:numPr>
          <w:numId w:val="33"/>
        </w:numPr>
        <w:spacing w:before="120" w:after="120" w:line="288" w:lineRule="auto"/>
        <w:ind w:left="0"/>
        <w:jc w:val="left"/>
      </w:pPr>
      <w:r>
        <w:rPr>
          <w:rFonts w:eastAsia="等线" w:ascii="Arial" w:cs="Arial" w:hAnsi="Arial"/>
          <w:sz w:val="22"/>
        </w:rPr>
        <w:t>借鉴砖砌体的砌筑工艺与材料特性，应用于新建项目的外墙砌筑与景观墙体设计。</w:t>
      </w:r>
    </w:p>
    <w:p>
      <w:pPr>
        <w:numPr>
          <w:numId w:val="34"/>
        </w:numPr>
        <w:spacing w:before="120" w:after="120" w:line="288" w:lineRule="auto"/>
        <w:ind w:left="0"/>
        <w:jc w:val="left"/>
      </w:pPr>
      <w:r>
        <w:rPr>
          <w:rFonts w:eastAsia="等线" w:ascii="Arial" w:cs="Arial" w:hAnsi="Arial"/>
          <w:sz w:val="22"/>
        </w:rPr>
        <w:t>保留旧建筑的结构文化符号，实现传统结构智慧与现代建筑功能的有机融合。</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16" w:id="16"/>
      <w:r>
        <w:rPr>
          <w:rFonts w:eastAsia="等线" w:ascii="Arial" w:cs="Arial" w:hAnsi="Arial"/>
          <w:b w:val="true"/>
          <w:sz w:val="32"/>
        </w:rPr>
        <w:t>七、报告结论</w:t>
      </w:r>
      <w:bookmarkEnd w:id="16"/>
    </w:p>
    <w:p>
      <w:pPr>
        <w:spacing w:before="120" w:after="120" w:line="288" w:lineRule="auto"/>
        <w:ind w:left="0"/>
        <w:jc w:val="left"/>
      </w:pPr>
      <w:r>
        <w:rPr>
          <w:rFonts w:eastAsia="等线" w:ascii="Arial" w:cs="Arial" w:hAnsi="Arial"/>
          <w:sz w:val="22"/>
        </w:rPr>
        <w:t>本次检测的徽派旧建筑为砖木结构，结构基本完好，材料性能与结构变形均满足现行规范要求，局部轻微损伤可通过修缮加固消除，结构安全性等级为B级。该旧建筑的结构体系、材料性能与营造智慧可为本次新建城市会客厅项目提供重要技术参考，具备良好的资源利用价值。</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17" w:id="17"/>
      <w:r>
        <w:rPr>
          <w:rFonts w:eastAsia="等线" w:ascii="Arial" w:cs="Arial" w:hAnsi="Arial"/>
          <w:b w:val="true"/>
          <w:sz w:val="32"/>
        </w:rPr>
        <w:t>八、附件</w:t>
      </w:r>
      <w:bookmarkEnd w:id="17"/>
    </w:p>
    <w:p>
      <w:pPr>
        <w:numPr>
          <w:numId w:val="35"/>
        </w:numPr>
        <w:spacing w:before="120" w:after="120" w:line="288" w:lineRule="auto"/>
        <w:ind w:left="0"/>
        <w:jc w:val="left"/>
      </w:pPr>
      <w:r>
        <w:rPr>
          <w:rFonts w:eastAsia="等线" w:ascii="Arial" w:cs="Arial" w:hAnsi="Arial"/>
          <w:sz w:val="22"/>
        </w:rPr>
        <w:t>旧建筑结构平面、立面、剖面测绘图</w:t>
      </w:r>
    </w:p>
    <w:p>
      <w:pPr>
        <w:numPr>
          <w:numId w:val="36"/>
        </w:numPr>
        <w:spacing w:before="120" w:after="120" w:line="288" w:lineRule="auto"/>
        <w:ind w:left="0"/>
        <w:jc w:val="left"/>
      </w:pPr>
      <w:r>
        <w:rPr>
          <w:rFonts w:eastAsia="等线" w:ascii="Arial" w:cs="Arial" w:hAnsi="Arial"/>
          <w:sz w:val="22"/>
        </w:rPr>
        <w:t>材料性能检测报告（木材、砖、砂浆）</w:t>
      </w:r>
    </w:p>
    <w:p>
      <w:pPr>
        <w:numPr>
          <w:numId w:val="37"/>
        </w:numPr>
        <w:spacing w:before="120" w:after="120" w:line="288" w:lineRule="auto"/>
        <w:ind w:left="0"/>
        <w:jc w:val="left"/>
      </w:pPr>
      <w:r>
        <w:rPr>
          <w:rFonts w:eastAsia="等线" w:ascii="Arial" w:cs="Arial" w:hAnsi="Arial"/>
          <w:sz w:val="22"/>
        </w:rPr>
        <w:t>构件损伤与变形检测照片</w:t>
      </w:r>
    </w:p>
    <w:p>
      <w:pPr>
        <w:numPr>
          <w:numId w:val="38"/>
        </w:numPr>
        <w:spacing w:before="120" w:after="120" w:line="288" w:lineRule="auto"/>
        <w:ind w:left="0"/>
        <w:jc w:val="left"/>
      </w:pPr>
      <w:r>
        <w:rPr>
          <w:rFonts w:eastAsia="等线" w:ascii="Arial" w:cs="Arial" w:hAnsi="Arial"/>
          <w:sz w:val="22"/>
        </w:rPr>
        <w:t>结构安全性评估计算书</w:t>
      </w:r>
    </w:p>
    <w:p>
      <w:pPr>
        <w:spacing w:before="120" w:after="120" w:line="288" w:lineRule="auto"/>
        <w:ind w:left="0"/>
        <w:jc w:val="left"/>
      </w:pPr>
      <w:r>
        <w:rPr>
          <w:rFonts w:eastAsia="等线" w:ascii="Arial" w:cs="Arial" w:hAnsi="Arial"/>
          <w:b w:val="true"/>
          <w:sz w:val="22"/>
        </w:rPr>
        <w:t>检测单位（盖章）</w:t>
      </w:r>
      <w:r>
        <w:rPr>
          <w:rFonts w:eastAsia="等线" w:ascii="Arial" w:cs="Arial" w:hAnsi="Arial"/>
          <w:sz w:val="22"/>
        </w:rPr>
        <w:t>：安徽建筑大学 建筑结构检测中心</w:t>
      </w:r>
    </w:p>
    <w:p>
      <w:pPr>
        <w:spacing w:before="120" w:after="120" w:line="288" w:lineRule="auto"/>
        <w:ind w:left="0"/>
        <w:jc w:val="left"/>
      </w:pPr>
      <w:r>
        <w:rPr>
          <w:rFonts w:eastAsia="等线" w:ascii="Arial" w:cs="Arial" w:hAnsi="Arial"/>
          <w:b w:val="true"/>
          <w:sz w:val="22"/>
        </w:rPr>
        <w:t>日期</w:t>
      </w:r>
      <w:r>
        <w:rPr>
          <w:rFonts w:eastAsia="等线" w:ascii="Arial" w:cs="Arial" w:hAnsi="Arial"/>
          <w:sz w:val="22"/>
        </w:rPr>
        <w:t>：2026年3月22日</w:t>
      </w:r>
    </w:p>
    <w:p>
      <w:pPr>
        <w:spacing w:before="120" w:after="120" w:line="288" w:lineRule="auto"/>
        <w:ind w:left="0"/>
        <w:jc w:val="left"/>
      </w:pP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3282854">
    <w:lvl>
      <w:start w:val="1"/>
      <w:numFmt w:val="decimal"/>
      <w:suff w:val="tab"/>
      <w:lvlText w:val="%1."/>
      <w:rPr>
        <w:color w:val="3370ff"/>
      </w:rPr>
    </w:lvl>
  </w:abstractNum>
  <w:abstractNum w:abstractNumId="3282855">
    <w:lvl>
      <w:start w:val="2"/>
      <w:numFmt w:val="decimal"/>
      <w:suff w:val="tab"/>
      <w:lvlText w:val="%1."/>
      <w:rPr>
        <w:color w:val="3370ff"/>
      </w:rPr>
    </w:lvl>
  </w:abstractNum>
  <w:abstractNum w:abstractNumId="3282856">
    <w:lvl>
      <w:start w:val="3"/>
      <w:numFmt w:val="decimal"/>
      <w:suff w:val="tab"/>
      <w:lvlText w:val="%1."/>
      <w:rPr>
        <w:color w:val="3370ff"/>
      </w:rPr>
    </w:lvl>
  </w:abstractNum>
  <w:abstractNum w:abstractNumId="3282857">
    <w:lvl>
      <w:start w:val="1"/>
      <w:numFmt w:val="decimal"/>
      <w:suff w:val="tab"/>
      <w:lvlText w:val="%1."/>
      <w:rPr>
        <w:color w:val="3370ff"/>
      </w:rPr>
    </w:lvl>
  </w:abstractNum>
  <w:abstractNum w:abstractNumId="3282858">
    <w:lvl>
      <w:start w:val="2"/>
      <w:numFmt w:val="decimal"/>
      <w:suff w:val="tab"/>
      <w:lvlText w:val="%1."/>
      <w:rPr>
        <w:color w:val="3370ff"/>
      </w:rPr>
    </w:lvl>
  </w:abstractNum>
  <w:abstractNum w:abstractNumId="3282859">
    <w:lvl>
      <w:start w:val="3"/>
      <w:numFmt w:val="decimal"/>
      <w:suff w:val="tab"/>
      <w:lvlText w:val="%1."/>
      <w:rPr>
        <w:color w:val="3370ff"/>
      </w:rPr>
    </w:lvl>
  </w:abstractNum>
  <w:abstractNum w:abstractNumId="3282860">
    <w:lvl>
      <w:start w:val="4"/>
      <w:numFmt w:val="decimal"/>
      <w:suff w:val="tab"/>
      <w:lvlText w:val="%1."/>
      <w:rPr>
        <w:color w:val="3370ff"/>
      </w:rPr>
    </w:lvl>
  </w:abstractNum>
  <w:abstractNum w:abstractNumId="3282861">
    <w:lvl>
      <w:start w:val="5"/>
      <w:numFmt w:val="decimal"/>
      <w:suff w:val="tab"/>
      <w:lvlText w:val="%1."/>
      <w:rPr>
        <w:color w:val="3370ff"/>
      </w:rPr>
    </w:lvl>
  </w:abstractNum>
  <w:abstractNum w:abstractNumId="3282862">
    <w:lvl>
      <w:start w:val="1"/>
      <w:numFmt w:val="decimal"/>
      <w:suff w:val="tab"/>
      <w:lvlText w:val="%1."/>
      <w:rPr>
        <w:color w:val="3370ff"/>
      </w:rPr>
    </w:lvl>
  </w:abstractNum>
  <w:abstractNum w:abstractNumId="3282863">
    <w:lvl>
      <w:start w:val="2"/>
      <w:numFmt w:val="decimal"/>
      <w:suff w:val="tab"/>
      <w:lvlText w:val="%1."/>
      <w:rPr>
        <w:color w:val="3370ff"/>
      </w:rPr>
    </w:lvl>
  </w:abstractNum>
  <w:abstractNum w:abstractNumId="3282864">
    <w:lvl>
      <w:numFmt w:val="bullet"/>
      <w:suff w:val="tab"/>
      <w:lvlText w:val="￮"/>
      <w:rPr>
        <w:color w:val="3370ff"/>
      </w:rPr>
    </w:lvl>
  </w:abstractNum>
  <w:abstractNum w:abstractNumId="3282865">
    <w:lvl>
      <w:numFmt w:val="bullet"/>
      <w:suff w:val="tab"/>
      <w:lvlText w:val="￮"/>
      <w:rPr>
        <w:color w:val="3370ff"/>
      </w:rPr>
    </w:lvl>
  </w:abstractNum>
  <w:abstractNum w:abstractNumId="3282866">
    <w:lvl>
      <w:start w:val="3"/>
      <w:numFmt w:val="decimal"/>
      <w:suff w:val="tab"/>
      <w:lvlText w:val="%1."/>
      <w:rPr>
        <w:color w:val="3370ff"/>
      </w:rPr>
    </w:lvl>
  </w:abstractNum>
  <w:abstractNum w:abstractNumId="3282867">
    <w:lvl>
      <w:start w:val="4"/>
      <w:numFmt w:val="decimal"/>
      <w:suff w:val="tab"/>
      <w:lvlText w:val="%1."/>
      <w:rPr>
        <w:color w:val="3370ff"/>
      </w:rPr>
    </w:lvl>
  </w:abstractNum>
  <w:abstractNum w:abstractNumId="3282868">
    <w:lvl>
      <w:numFmt w:val="bullet"/>
      <w:suff w:val="tab"/>
      <w:lvlText w:val="•"/>
      <w:rPr>
        <w:color w:val="3370ff"/>
      </w:rPr>
    </w:lvl>
  </w:abstractNum>
  <w:abstractNum w:abstractNumId="3282869">
    <w:lvl>
      <w:numFmt w:val="bullet"/>
      <w:suff w:val="tab"/>
      <w:lvlText w:val="•"/>
      <w:rPr>
        <w:color w:val="3370ff"/>
      </w:rPr>
    </w:lvl>
  </w:abstractNum>
  <w:abstractNum w:abstractNumId="3282870">
    <w:lvl>
      <w:start w:val="1"/>
      <w:numFmt w:val="decimal"/>
      <w:suff w:val="tab"/>
      <w:lvlText w:val="%1."/>
      <w:rPr>
        <w:color w:val="3370ff"/>
      </w:rPr>
    </w:lvl>
  </w:abstractNum>
  <w:abstractNum w:abstractNumId="3282871">
    <w:lvl>
      <w:numFmt w:val="bullet"/>
      <w:suff w:val="tab"/>
      <w:lvlText w:val="￮"/>
      <w:rPr>
        <w:color w:val="3370ff"/>
      </w:rPr>
    </w:lvl>
  </w:abstractNum>
  <w:abstractNum w:abstractNumId="3282872">
    <w:lvl>
      <w:numFmt w:val="bullet"/>
      <w:suff w:val="tab"/>
      <w:lvlText w:val="￮"/>
      <w:rPr>
        <w:color w:val="3370ff"/>
      </w:rPr>
    </w:lvl>
  </w:abstractNum>
  <w:abstractNum w:abstractNumId="3282873">
    <w:lvl>
      <w:start w:val="2"/>
      <w:numFmt w:val="decimal"/>
      <w:suff w:val="tab"/>
      <w:lvlText w:val="%1."/>
      <w:rPr>
        <w:color w:val="3370ff"/>
      </w:rPr>
    </w:lvl>
  </w:abstractNum>
  <w:abstractNum w:abstractNumId="3282874">
    <w:lvl>
      <w:numFmt w:val="bullet"/>
      <w:suff w:val="tab"/>
      <w:lvlText w:val="￮"/>
      <w:rPr>
        <w:color w:val="3370ff"/>
      </w:rPr>
    </w:lvl>
  </w:abstractNum>
  <w:abstractNum w:abstractNumId="3282875">
    <w:lvl>
      <w:numFmt w:val="bullet"/>
      <w:suff w:val="tab"/>
      <w:lvlText w:val="￮"/>
      <w:rPr>
        <w:color w:val="3370ff"/>
      </w:rPr>
    </w:lvl>
  </w:abstractNum>
  <w:abstractNum w:abstractNumId="3282876">
    <w:lvl>
      <w:numFmt w:val="bullet"/>
      <w:suff w:val="tab"/>
      <w:lvlText w:val="•"/>
      <w:rPr>
        <w:color w:val="3370ff"/>
      </w:rPr>
    </w:lvl>
  </w:abstractNum>
  <w:abstractNum w:abstractNumId="3282877">
    <w:lvl>
      <w:numFmt w:val="bullet"/>
      <w:suff w:val="tab"/>
      <w:lvlText w:val="•"/>
      <w:rPr>
        <w:color w:val="3370ff"/>
      </w:rPr>
    </w:lvl>
  </w:abstractNum>
  <w:abstractNum w:abstractNumId="3282878">
    <w:lvl>
      <w:numFmt w:val="bullet"/>
      <w:suff w:val="tab"/>
      <w:lvlText w:val="•"/>
      <w:rPr>
        <w:color w:val="3370ff"/>
      </w:rPr>
    </w:lvl>
  </w:abstractNum>
  <w:abstractNum w:abstractNumId="3282879">
    <w:lvl>
      <w:start w:val="1"/>
      <w:numFmt w:val="decimal"/>
      <w:suff w:val="tab"/>
      <w:lvlText w:val="%1."/>
      <w:rPr>
        <w:color w:val="3370ff"/>
      </w:rPr>
    </w:lvl>
  </w:abstractNum>
  <w:abstractNum w:abstractNumId="3282880">
    <w:lvl>
      <w:start w:val="2"/>
      <w:numFmt w:val="decimal"/>
      <w:suff w:val="tab"/>
      <w:lvlText w:val="%1."/>
      <w:rPr>
        <w:color w:val="3370ff"/>
      </w:rPr>
    </w:lvl>
  </w:abstractNum>
  <w:abstractNum w:abstractNumId="3282881">
    <w:lvl>
      <w:start w:val="3"/>
      <w:numFmt w:val="decimal"/>
      <w:suff w:val="tab"/>
      <w:lvlText w:val="%1."/>
      <w:rPr>
        <w:color w:val="3370ff"/>
      </w:rPr>
    </w:lvl>
  </w:abstractNum>
  <w:abstractNum w:abstractNumId="3282882">
    <w:lvl>
      <w:start w:val="1"/>
      <w:numFmt w:val="decimal"/>
      <w:suff w:val="tab"/>
      <w:lvlText w:val="%1."/>
      <w:rPr>
        <w:color w:val="3370ff"/>
      </w:rPr>
    </w:lvl>
  </w:abstractNum>
  <w:abstractNum w:abstractNumId="3282883">
    <w:lvl>
      <w:start w:val="2"/>
      <w:numFmt w:val="decimal"/>
      <w:suff w:val="tab"/>
      <w:lvlText w:val="%1."/>
      <w:rPr>
        <w:color w:val="3370ff"/>
      </w:rPr>
    </w:lvl>
  </w:abstractNum>
  <w:abstractNum w:abstractNumId="3282884">
    <w:lvl>
      <w:start w:val="3"/>
      <w:numFmt w:val="decimal"/>
      <w:suff w:val="tab"/>
      <w:lvlText w:val="%1."/>
      <w:rPr>
        <w:color w:val="3370ff"/>
      </w:rPr>
    </w:lvl>
  </w:abstractNum>
  <w:abstractNum w:abstractNumId="3282885">
    <w:lvl>
      <w:start w:val="1"/>
      <w:numFmt w:val="decimal"/>
      <w:suff w:val="tab"/>
      <w:lvlText w:val="%1."/>
      <w:rPr>
        <w:color w:val="3370ff"/>
      </w:rPr>
    </w:lvl>
  </w:abstractNum>
  <w:abstractNum w:abstractNumId="3282886">
    <w:lvl>
      <w:start w:val="2"/>
      <w:numFmt w:val="decimal"/>
      <w:suff w:val="tab"/>
      <w:lvlText w:val="%1."/>
      <w:rPr>
        <w:color w:val="3370ff"/>
      </w:rPr>
    </w:lvl>
  </w:abstractNum>
  <w:abstractNum w:abstractNumId="3282887">
    <w:lvl>
      <w:start w:val="3"/>
      <w:numFmt w:val="decimal"/>
      <w:suff w:val="tab"/>
      <w:lvlText w:val="%1."/>
      <w:rPr>
        <w:color w:val="3370ff"/>
      </w:rPr>
    </w:lvl>
  </w:abstractNum>
  <w:abstractNum w:abstractNumId="3282888">
    <w:lvl>
      <w:start w:val="1"/>
      <w:numFmt w:val="decimal"/>
      <w:suff w:val="tab"/>
      <w:lvlText w:val="%1."/>
      <w:rPr>
        <w:color w:val="3370ff"/>
      </w:rPr>
    </w:lvl>
  </w:abstractNum>
  <w:abstractNum w:abstractNumId="3282889">
    <w:lvl>
      <w:start w:val="2"/>
      <w:numFmt w:val="decimal"/>
      <w:suff w:val="tab"/>
      <w:lvlText w:val="%1."/>
      <w:rPr>
        <w:color w:val="3370ff"/>
      </w:rPr>
    </w:lvl>
  </w:abstractNum>
  <w:abstractNum w:abstractNumId="3282890">
    <w:lvl>
      <w:start w:val="3"/>
      <w:numFmt w:val="decimal"/>
      <w:suff w:val="tab"/>
      <w:lvlText w:val="%1."/>
      <w:rPr>
        <w:color w:val="3370ff"/>
      </w:rPr>
    </w:lvl>
  </w:abstractNum>
  <w:abstractNum w:abstractNumId="3282891">
    <w:lvl>
      <w:start w:val="4"/>
      <w:numFmt w:val="decimal"/>
      <w:suff w:val="tab"/>
      <w:lvlText w:val="%1."/>
      <w:rPr>
        <w:color w:val="3370ff"/>
      </w:rPr>
    </w:lvl>
  </w:abstractNum>
  <w:num w:numId="1">
    <w:abstractNumId w:val="3282854"/>
  </w:num>
  <w:num w:numId="2">
    <w:abstractNumId w:val="3282855"/>
  </w:num>
  <w:num w:numId="3">
    <w:abstractNumId w:val="3282856"/>
  </w:num>
  <w:num w:numId="4">
    <w:abstractNumId w:val="3282857"/>
  </w:num>
  <w:num w:numId="5">
    <w:abstractNumId w:val="3282858"/>
  </w:num>
  <w:num w:numId="6">
    <w:abstractNumId w:val="3282859"/>
  </w:num>
  <w:num w:numId="7">
    <w:abstractNumId w:val="3282860"/>
  </w:num>
  <w:num w:numId="8">
    <w:abstractNumId w:val="3282861"/>
  </w:num>
  <w:num w:numId="9">
    <w:abstractNumId w:val="3282862"/>
  </w:num>
  <w:num w:numId="10">
    <w:abstractNumId w:val="3282863"/>
  </w:num>
  <w:num w:numId="11">
    <w:abstractNumId w:val="3282864"/>
  </w:num>
  <w:num w:numId="12">
    <w:abstractNumId w:val="3282865"/>
  </w:num>
  <w:num w:numId="13">
    <w:abstractNumId w:val="3282866"/>
  </w:num>
  <w:num w:numId="14">
    <w:abstractNumId w:val="3282867"/>
  </w:num>
  <w:num w:numId="15">
    <w:abstractNumId w:val="3282868"/>
  </w:num>
  <w:num w:numId="16">
    <w:abstractNumId w:val="3282869"/>
  </w:num>
  <w:num w:numId="17">
    <w:abstractNumId w:val="3282870"/>
  </w:num>
  <w:num w:numId="18">
    <w:abstractNumId w:val="3282871"/>
  </w:num>
  <w:num w:numId="19">
    <w:abstractNumId w:val="3282872"/>
  </w:num>
  <w:num w:numId="20">
    <w:abstractNumId w:val="3282873"/>
  </w:num>
  <w:num w:numId="21">
    <w:abstractNumId w:val="3282874"/>
  </w:num>
  <w:num w:numId="22">
    <w:abstractNumId w:val="3282875"/>
  </w:num>
  <w:num w:numId="23">
    <w:abstractNumId w:val="3282876"/>
  </w:num>
  <w:num w:numId="24">
    <w:abstractNumId w:val="3282877"/>
  </w:num>
  <w:num w:numId="25">
    <w:abstractNumId w:val="3282878"/>
  </w:num>
  <w:num w:numId="26">
    <w:abstractNumId w:val="3282879"/>
  </w:num>
  <w:num w:numId="27">
    <w:abstractNumId w:val="3282880"/>
  </w:num>
  <w:num w:numId="28">
    <w:abstractNumId w:val="3282881"/>
  </w:num>
  <w:num w:numId="29">
    <w:abstractNumId w:val="3282882"/>
  </w:num>
  <w:num w:numId="30">
    <w:abstractNumId w:val="3282883"/>
  </w:num>
  <w:num w:numId="31">
    <w:abstractNumId w:val="3282884"/>
  </w:num>
  <w:num w:numId="32">
    <w:abstractNumId w:val="3282885"/>
  </w:num>
  <w:num w:numId="33">
    <w:abstractNumId w:val="3282886"/>
  </w:num>
  <w:num w:numId="34">
    <w:abstractNumId w:val="3282887"/>
  </w:num>
  <w:num w:numId="35">
    <w:abstractNumId w:val="3282888"/>
  </w:num>
  <w:num w:numId="36">
    <w:abstractNumId w:val="3282889"/>
  </w:num>
  <w:num w:numId="37">
    <w:abstractNumId w:val="3282890"/>
  </w:num>
  <w:num w:numId="38">
    <w:abstractNumId w:val="3282891"/>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2026-03-22T07:35:52Z</dcterms:created>
  <dc:creator>Apache POI</dc:creator>
</cp:coreProperties>
</file>