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水处理设备运营使用情况报告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：徽厅聚绿·天井承合——城市会客厅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工程地点</w:t>
      </w:r>
      <w:r>
        <w:rPr>
          <w:rFonts w:eastAsia="等线" w:ascii="Arial" w:cs="Arial" w:hAnsi="Arial"/>
          <w:sz w:val="22"/>
        </w:rPr>
        <w:t>：安徽·合肥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报告编号</w:t>
      </w:r>
      <w:r>
        <w:rPr>
          <w:rFonts w:eastAsia="等线" w:ascii="Arial" w:cs="Arial" w:hAnsi="Arial"/>
          <w:sz w:val="22"/>
        </w:rPr>
        <w:t>：WTR-2026-0325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建设单位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运营单位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：2026年3月25日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编制人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审定人</w:t>
      </w:r>
      <w:r>
        <w:rPr>
          <w:rFonts w:eastAsia="等线" w:ascii="Arial" w:cs="Arial" w:hAnsi="Arial"/>
          <w:sz w:val="22"/>
        </w:rPr>
        <w:t>：陈萨如拉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一、设备概况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设备用途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生活饮用水净化、中水回用、绿化灌溉水制备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设计处理规模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5m³/h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服务范围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健康之家、公共卫生间、茶水间、屋面及庭院绿化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设备位置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一层健康之家北侧辅助设备间（面积约25㎡）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投运日期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2026年3月10日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累计运行时长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360h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核心设备清单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格栅机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栅距5mm，处理量5m³/h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调节池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有效容积10m³，碳钢防腐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絮凝沉淀池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表面负荷1.5m³/(m²·h)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砂滤罐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Φ1200mm，滤料层高800mm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2台（一用一备）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活性炭罐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Φ1200mm，炭层高1000mm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2台（一用一备）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超滤装置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膜通量60L/(m²·h)，处理量3m³/h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次氯酸钠消毒器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有效氯投加量5mg/L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变频供水泵组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流量5m³/h，扬程30m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2台（一用一备）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在线监测仪表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pH、浊度、余氯、流量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正常运行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二、运营管理情况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运行模式</w:t>
      </w:r>
      <w:bookmarkEnd w:id="4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运行时段</w:t>
      </w:r>
      <w:r>
        <w:rPr>
          <w:rFonts w:eastAsia="等线" w:ascii="Arial" w:cs="Arial" w:hAnsi="Arial"/>
          <w:sz w:val="22"/>
        </w:rPr>
        <w:t>：每日8:00–22:00连续运行，夜间低负荷待机模式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工艺控制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原水→格栅→调节池→絮凝沉淀→砂滤+活性炭过滤→超滤→消毒→清水池/回用水池→供水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反冲洗：砂滤罐/活性炭罐每48h反冲洗1次，每次15min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药剂投加：PAC（10mg/L）、PAM（0.5mg/L）、次氯酸钠（5mg/L），自动计量投加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2.2 日常维护与巡检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频次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执行情况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设备外观、阀门、仪表检查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100%执行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在线监测数据记录（pH、浊度、余氯、流量）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每2h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100%执行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砂滤罐/活性炭罐反冲洗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每48h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100%执行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超滤膜化学清洗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已完成1次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泵组、电机润滑保养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待执行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污泥清理、药剂补充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100%执行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2.3 人员配置</w:t>
      </w:r>
      <w:bookmarkEnd w:id="6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运营负责人：1名（持证上岗，负责整体运维管理）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值班操作人员：2名（轮班值守，负责日常运行与数据记录）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维修人员：1名（负责设备故障检修与保养）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三、运行效果与水质情况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3.1 处理效率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进水浓度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出水浓度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去除率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浊度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5–10 NTU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 NTU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≥90%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30–50 mg/L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 mg/L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≥70%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15–25 mg/L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≤8 mg/L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≥60%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总大肠菌群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10⁴ CFU/100mL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未检出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3.2 节水与回用效益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中水回用率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≥40%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年节约自来水量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≥1200m³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预计1260m³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单位水处理能耗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≤0.8kWh/m³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0.72kWh/m³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3.3 水质检测结果</w:t>
      </w:r>
      <w:bookmarkEnd w:id="10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生活饮用水：符合《生活饮用水卫生标准》GB 5749-2022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直饮水：符合《饮用净水水质标准》CJ 94-2005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中水回用水：符合《城市污水再生利用 城市杂用水水质》GB/T 18920-2020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绿化灌溉水：符合《农田灌溉水质标准》GB 5084-2021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所有检测项目均100%达标，无水质超标记录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四、故障与异常情况处理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故障类型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原因分析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处理措施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恢复时间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2026-03-12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砂滤罐出水浊度略升高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滤料轻微板结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加强反冲洗，补充新滤料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2h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2026-03-18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变频泵组压力波动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进水流量不稳定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调整调节池水位，优化泵组频率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30min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2026-03-22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在线余氯仪表漂移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电极老化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更换电极，重新校准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1h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无重大设备故障，所有异常均及时处理，未影响正常供水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/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/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/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五、存在问题与改进措施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5.1 现存问题</w:t>
      </w:r>
      <w:bookmarkEnd w:id="13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超滤膜清洗周期偏短，约25天需化学清洗，略短于设计30天周期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夜间低负荷运行时，部分设备空转，存在一定能耗浪费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污泥收集池容积偏小，需缩短清理周期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5.2 改进措施</w:t>
      </w:r>
      <w:bookmarkEnd w:id="14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优化超滤膜清洗药剂配比，延长清洗周期至30天以上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增设夜间低负荷自动停机程序，降低能耗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扩容污泥收集池至15m³，减少清理频次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计划2026年4月完成上述改造，进一步提升运营效率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六、结论与展望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6.1 运营结论</w:t>
      </w:r>
      <w:bookmarkEnd w:id="16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水处理设备自投运以来，</w:t>
      </w:r>
      <w:r>
        <w:rPr>
          <w:rFonts w:eastAsia="等线" w:ascii="Arial" w:cs="Arial" w:hAnsi="Arial"/>
          <w:b w:val="true"/>
          <w:sz w:val="22"/>
        </w:rPr>
        <w:t>运行稳定、各项指标达标</w:t>
      </w:r>
      <w:r>
        <w:rPr>
          <w:rFonts w:eastAsia="等线" w:ascii="Arial" w:cs="Arial" w:hAnsi="Arial"/>
          <w:sz w:val="22"/>
        </w:rPr>
        <w:t>，处理效率与节水效益均达到设计要求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日常维护管理规范，故障处理及时，未影响项目正常用水需求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水质安全可靠，符合国家规范与绿色建筑评价要求，为项目健康舒适与节水目标提供了有力支撑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6.2 未来展望</w:t>
      </w:r>
      <w:bookmarkEnd w:id="17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持续优化运行参数，进一步降低能耗与药耗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建立智能化运维平台，实现远程监控与故障预警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总结运营经验，为同类公共建筑水处理系统设计与运维提供参考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七、附件</w:t>
      </w:r>
      <w:bookmarkEnd w:id="18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设备运行日志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水质检测报告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设备维护保养记录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故障处理记录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能耗统计报表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运营单位（盖章）</w:t>
      </w:r>
      <w:r>
        <w:rPr>
          <w:rFonts w:eastAsia="等线" w:ascii="Arial" w:cs="Arial" w:hAnsi="Arial"/>
          <w:sz w:val="22"/>
        </w:rPr>
        <w:t>：安徽建筑大学 建筑与规划学院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：2026年3月25日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21141">
    <w:lvl>
      <w:numFmt w:val="bullet"/>
      <w:suff w:val="tab"/>
      <w:lvlText w:val="•"/>
      <w:rPr>
        <w:color w:val="3370ff"/>
      </w:rPr>
    </w:lvl>
  </w:abstractNum>
  <w:abstractNum w:abstractNumId="321142">
    <w:lvl>
      <w:numFmt w:val="bullet"/>
      <w:suff w:val="tab"/>
      <w:lvlText w:val="•"/>
      <w:rPr>
        <w:color w:val="3370ff"/>
      </w:rPr>
    </w:lvl>
  </w:abstractNum>
  <w:abstractNum w:abstractNumId="321143">
    <w:lvl>
      <w:numFmt w:val="bullet"/>
      <w:suff w:val="tab"/>
      <w:lvlText w:val="￮"/>
      <w:rPr>
        <w:color w:val="3370ff"/>
      </w:rPr>
    </w:lvl>
  </w:abstractNum>
  <w:abstractNum w:abstractNumId="321144">
    <w:lvl>
      <w:numFmt w:val="bullet"/>
      <w:suff w:val="tab"/>
      <w:lvlText w:val="￮"/>
      <w:rPr>
        <w:color w:val="3370ff"/>
      </w:rPr>
    </w:lvl>
  </w:abstractNum>
  <w:abstractNum w:abstractNumId="321145">
    <w:lvl>
      <w:numFmt w:val="bullet"/>
      <w:suff w:val="tab"/>
      <w:lvlText w:val="￮"/>
      <w:rPr>
        <w:color w:val="3370ff"/>
      </w:rPr>
    </w:lvl>
  </w:abstractNum>
  <w:abstractNum w:abstractNumId="321146">
    <w:lvl>
      <w:numFmt w:val="bullet"/>
      <w:suff w:val="tab"/>
      <w:lvlText w:val="•"/>
      <w:rPr>
        <w:color w:val="3370ff"/>
      </w:rPr>
    </w:lvl>
  </w:abstractNum>
  <w:abstractNum w:abstractNumId="321147">
    <w:lvl>
      <w:numFmt w:val="bullet"/>
      <w:suff w:val="tab"/>
      <w:lvlText w:val="•"/>
      <w:rPr>
        <w:color w:val="3370ff"/>
      </w:rPr>
    </w:lvl>
  </w:abstractNum>
  <w:abstractNum w:abstractNumId="321148">
    <w:lvl>
      <w:numFmt w:val="bullet"/>
      <w:suff w:val="tab"/>
      <w:lvlText w:val="•"/>
      <w:rPr>
        <w:color w:val="3370ff"/>
      </w:rPr>
    </w:lvl>
  </w:abstractNum>
  <w:abstractNum w:abstractNumId="321149">
    <w:lvl>
      <w:numFmt w:val="bullet"/>
      <w:suff w:val="tab"/>
      <w:lvlText w:val="•"/>
      <w:rPr>
        <w:color w:val="3370ff"/>
      </w:rPr>
    </w:lvl>
  </w:abstractNum>
  <w:abstractNum w:abstractNumId="321150">
    <w:lvl>
      <w:numFmt w:val="bullet"/>
      <w:suff w:val="tab"/>
      <w:lvlText w:val="•"/>
      <w:rPr>
        <w:color w:val="3370ff"/>
      </w:rPr>
    </w:lvl>
  </w:abstractNum>
  <w:abstractNum w:abstractNumId="321151">
    <w:lvl>
      <w:numFmt w:val="bullet"/>
      <w:suff w:val="tab"/>
      <w:lvlText w:val="•"/>
      <w:rPr>
        <w:color w:val="3370ff"/>
      </w:rPr>
    </w:lvl>
  </w:abstractNum>
  <w:abstractNum w:abstractNumId="321152">
    <w:lvl>
      <w:numFmt w:val="bullet"/>
      <w:suff w:val="tab"/>
      <w:lvlText w:val="•"/>
      <w:rPr>
        <w:color w:val="3370ff"/>
      </w:rPr>
    </w:lvl>
  </w:abstractNum>
  <w:abstractNum w:abstractNumId="321153">
    <w:lvl>
      <w:numFmt w:val="bullet"/>
      <w:suff w:val="tab"/>
      <w:lvlText w:val="•"/>
      <w:rPr>
        <w:color w:val="3370ff"/>
      </w:rPr>
    </w:lvl>
  </w:abstractNum>
  <w:abstractNum w:abstractNumId="321154">
    <w:lvl>
      <w:start w:val="1"/>
      <w:numFmt w:val="decimal"/>
      <w:suff w:val="tab"/>
      <w:lvlText w:val="%1."/>
      <w:rPr>
        <w:color w:val="3370ff"/>
      </w:rPr>
    </w:lvl>
  </w:abstractNum>
  <w:abstractNum w:abstractNumId="321155">
    <w:lvl>
      <w:start w:val="2"/>
      <w:numFmt w:val="decimal"/>
      <w:suff w:val="tab"/>
      <w:lvlText w:val="%1."/>
      <w:rPr>
        <w:color w:val="3370ff"/>
      </w:rPr>
    </w:lvl>
  </w:abstractNum>
  <w:abstractNum w:abstractNumId="321156">
    <w:lvl>
      <w:start w:val="3"/>
      <w:numFmt w:val="decimal"/>
      <w:suff w:val="tab"/>
      <w:lvlText w:val="%1."/>
      <w:rPr>
        <w:color w:val="3370ff"/>
      </w:rPr>
    </w:lvl>
  </w:abstractNum>
  <w:abstractNum w:abstractNumId="321157">
    <w:lvl>
      <w:start w:val="1"/>
      <w:numFmt w:val="decimal"/>
      <w:suff w:val="tab"/>
      <w:lvlText w:val="%1."/>
      <w:rPr>
        <w:color w:val="3370ff"/>
      </w:rPr>
    </w:lvl>
  </w:abstractNum>
  <w:abstractNum w:abstractNumId="321158">
    <w:lvl>
      <w:start w:val="2"/>
      <w:numFmt w:val="decimal"/>
      <w:suff w:val="tab"/>
      <w:lvlText w:val="%1."/>
      <w:rPr>
        <w:color w:val="3370ff"/>
      </w:rPr>
    </w:lvl>
  </w:abstractNum>
  <w:abstractNum w:abstractNumId="321159">
    <w:lvl>
      <w:start w:val="3"/>
      <w:numFmt w:val="decimal"/>
      <w:suff w:val="tab"/>
      <w:lvlText w:val="%1."/>
      <w:rPr>
        <w:color w:val="3370ff"/>
      </w:rPr>
    </w:lvl>
  </w:abstractNum>
  <w:abstractNum w:abstractNumId="321160">
    <w:lvl>
      <w:start w:val="4"/>
      <w:numFmt w:val="decimal"/>
      <w:suff w:val="tab"/>
      <w:lvlText w:val="%1."/>
      <w:rPr>
        <w:color w:val="3370ff"/>
      </w:rPr>
    </w:lvl>
  </w:abstractNum>
  <w:abstractNum w:abstractNumId="321161">
    <w:lvl>
      <w:numFmt w:val="bullet"/>
      <w:suff w:val="tab"/>
      <w:lvlText w:val="•"/>
      <w:rPr>
        <w:color w:val="3370ff"/>
      </w:rPr>
    </w:lvl>
  </w:abstractNum>
  <w:abstractNum w:abstractNumId="321162">
    <w:lvl>
      <w:numFmt w:val="bullet"/>
      <w:suff w:val="tab"/>
      <w:lvlText w:val="•"/>
      <w:rPr>
        <w:color w:val="3370ff"/>
      </w:rPr>
    </w:lvl>
  </w:abstractNum>
  <w:abstractNum w:abstractNumId="321163">
    <w:lvl>
      <w:numFmt w:val="bullet"/>
      <w:suff w:val="tab"/>
      <w:lvlText w:val="•"/>
      <w:rPr>
        <w:color w:val="3370ff"/>
      </w:rPr>
    </w:lvl>
  </w:abstractNum>
  <w:abstractNum w:abstractNumId="321164">
    <w:lvl>
      <w:numFmt w:val="bullet"/>
      <w:suff w:val="tab"/>
      <w:lvlText w:val="•"/>
      <w:rPr>
        <w:color w:val="3370ff"/>
      </w:rPr>
    </w:lvl>
  </w:abstractNum>
  <w:abstractNum w:abstractNumId="321165">
    <w:lvl>
      <w:numFmt w:val="bullet"/>
      <w:suff w:val="tab"/>
      <w:lvlText w:val="•"/>
      <w:rPr>
        <w:color w:val="3370ff"/>
      </w:rPr>
    </w:lvl>
  </w:abstractNum>
  <w:abstractNum w:abstractNumId="321166">
    <w:lvl>
      <w:numFmt w:val="bullet"/>
      <w:suff w:val="tab"/>
      <w:lvlText w:val="•"/>
      <w:rPr>
        <w:color w:val="3370ff"/>
      </w:rPr>
    </w:lvl>
  </w:abstractNum>
  <w:abstractNum w:abstractNumId="321167">
    <w:lvl>
      <w:start w:val="1"/>
      <w:numFmt w:val="decimal"/>
      <w:suff w:val="tab"/>
      <w:lvlText w:val="%1."/>
      <w:rPr>
        <w:color w:val="3370ff"/>
      </w:rPr>
    </w:lvl>
  </w:abstractNum>
  <w:abstractNum w:abstractNumId="321168">
    <w:lvl>
      <w:start w:val="2"/>
      <w:numFmt w:val="decimal"/>
      <w:suff w:val="tab"/>
      <w:lvlText w:val="%1."/>
      <w:rPr>
        <w:color w:val="3370ff"/>
      </w:rPr>
    </w:lvl>
  </w:abstractNum>
  <w:abstractNum w:abstractNumId="321169">
    <w:lvl>
      <w:start w:val="3"/>
      <w:numFmt w:val="decimal"/>
      <w:suff w:val="tab"/>
      <w:lvlText w:val="%1."/>
      <w:rPr>
        <w:color w:val="3370ff"/>
      </w:rPr>
    </w:lvl>
  </w:abstractNum>
  <w:abstractNum w:abstractNumId="321170">
    <w:lvl>
      <w:start w:val="4"/>
      <w:numFmt w:val="decimal"/>
      <w:suff w:val="tab"/>
      <w:lvlText w:val="%1."/>
      <w:rPr>
        <w:color w:val="3370ff"/>
      </w:rPr>
    </w:lvl>
  </w:abstractNum>
  <w:abstractNum w:abstractNumId="321171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321141"/>
  </w:num>
  <w:num w:numId="2">
    <w:abstractNumId w:val="321142"/>
  </w:num>
  <w:num w:numId="3">
    <w:abstractNumId w:val="321143"/>
  </w:num>
  <w:num w:numId="4">
    <w:abstractNumId w:val="321144"/>
  </w:num>
  <w:num w:numId="5">
    <w:abstractNumId w:val="321145"/>
  </w:num>
  <w:num w:numId="6">
    <w:abstractNumId w:val="321146"/>
  </w:num>
  <w:num w:numId="7">
    <w:abstractNumId w:val="321147"/>
  </w:num>
  <w:num w:numId="8">
    <w:abstractNumId w:val="321148"/>
  </w:num>
  <w:num w:numId="9">
    <w:abstractNumId w:val="321149"/>
  </w:num>
  <w:num w:numId="10">
    <w:abstractNumId w:val="321150"/>
  </w:num>
  <w:num w:numId="11">
    <w:abstractNumId w:val="321151"/>
  </w:num>
  <w:num w:numId="12">
    <w:abstractNumId w:val="321152"/>
  </w:num>
  <w:num w:numId="13">
    <w:abstractNumId w:val="321153"/>
  </w:num>
  <w:num w:numId="14">
    <w:abstractNumId w:val="321154"/>
  </w:num>
  <w:num w:numId="15">
    <w:abstractNumId w:val="321155"/>
  </w:num>
  <w:num w:numId="16">
    <w:abstractNumId w:val="321156"/>
  </w:num>
  <w:num w:numId="17">
    <w:abstractNumId w:val="321157"/>
  </w:num>
  <w:num w:numId="18">
    <w:abstractNumId w:val="321158"/>
  </w:num>
  <w:num w:numId="19">
    <w:abstractNumId w:val="321159"/>
  </w:num>
  <w:num w:numId="20">
    <w:abstractNumId w:val="321160"/>
  </w:num>
  <w:num w:numId="21">
    <w:abstractNumId w:val="321161"/>
  </w:num>
  <w:num w:numId="22">
    <w:abstractNumId w:val="321162"/>
  </w:num>
  <w:num w:numId="23">
    <w:abstractNumId w:val="321163"/>
  </w:num>
  <w:num w:numId="24">
    <w:abstractNumId w:val="321164"/>
  </w:num>
  <w:num w:numId="25">
    <w:abstractNumId w:val="321165"/>
  </w:num>
  <w:num w:numId="26">
    <w:abstractNumId w:val="321166"/>
  </w:num>
  <w:num w:numId="27">
    <w:abstractNumId w:val="321167"/>
  </w:num>
  <w:num w:numId="28">
    <w:abstractNumId w:val="321168"/>
  </w:num>
  <w:num w:numId="29">
    <w:abstractNumId w:val="321169"/>
  </w:num>
  <w:num w:numId="30">
    <w:abstractNumId w:val="321170"/>
  </w:num>
  <w:num w:numId="31">
    <w:abstractNumId w:val="32117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2026-03-25T02:51:15Z</dcterms:created>
  <dc:creator>Apache POI</dc:creator>
</cp:coreProperties>
</file>