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生活饮用水储水设施设备材料采购清单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项目名称</w:t>
      </w:r>
      <w:r>
        <w:rPr>
          <w:rFonts w:eastAsia="等线" w:ascii="Arial" w:cs="Arial" w:hAnsi="Arial"/>
          <w:sz w:val="22"/>
        </w:rPr>
        <w:t>：徽厅聚绿·天井承合——城市会客厅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工程地点</w:t>
      </w:r>
      <w:r>
        <w:rPr>
          <w:rFonts w:eastAsia="等线" w:ascii="Arial" w:cs="Arial" w:hAnsi="Arial"/>
          <w:sz w:val="22"/>
        </w:rPr>
        <w:t>：安徽·合肥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清单编号</w:t>
      </w:r>
      <w:r>
        <w:rPr>
          <w:rFonts w:eastAsia="等线" w:ascii="Arial" w:cs="Arial" w:hAnsi="Arial"/>
          <w:sz w:val="22"/>
        </w:rPr>
        <w:t>：WPM-2026-0325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编制日期</w:t>
      </w:r>
      <w:r>
        <w:rPr>
          <w:rFonts w:eastAsia="等线" w:ascii="Arial" w:cs="Arial" w:hAnsi="Arial"/>
          <w:sz w:val="22"/>
        </w:rPr>
        <w:t>：2026年3月25日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编制人</w:t>
      </w:r>
      <w:r>
        <w:rPr>
          <w:rFonts w:eastAsia="等线" w:ascii="Arial" w:cs="Arial" w:hAnsi="Arial"/>
          <w:sz w:val="22"/>
        </w:rPr>
        <w:t>：陈子琦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审核人</w:t>
      </w:r>
      <w:r>
        <w:rPr>
          <w:rFonts w:eastAsia="等线" w:ascii="Arial" w:cs="Arial" w:hAnsi="Arial"/>
          <w:sz w:val="22"/>
        </w:rPr>
        <w:t>：许杰青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审定人</w:t>
      </w:r>
      <w:r>
        <w:rPr>
          <w:rFonts w:eastAsia="等线" w:ascii="Arial" w:cs="Arial" w:hAnsi="Arial"/>
          <w:sz w:val="22"/>
        </w:rPr>
        <w:t>：陈萨如拉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一、储水设施类</w:t>
      </w:r>
      <w:bookmarkEnd w:id="0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设备名称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型号规格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材质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数量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用途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生活饮用水清水池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有效容积20m³，尺寸4m×5m×1m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304不锈钢内衬+混凝土池体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座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储存生活饮用水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符合《生活饮用水输配水设备及防护材料的安全性评价标准》GB/T 17219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直饮水储水箱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有效容积5m³，尺寸2m×2.5m×1m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食品级304不锈钢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台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储存直饮水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带密闭顶盖、人孔、溢流管防蚊网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中水回用水池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有效容积15m³，尺寸3m×5m×1m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PE防腐内衬+混凝土池体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座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储存中水回用水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用于冲厕、绿化灌溉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应急储水箱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有效容积10m³，尺寸2m×5m×1m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食品级304不锈钢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台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应急生活用水储备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与市政管网联动，自动补水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二、核心设备类</w:t>
      </w:r>
      <w:bookmarkEnd w:id="1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设备名称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型号规格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材质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数量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用途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变频供水泵组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流量5m³/h，扬程30m，功率2.2kW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不锈钢叶轮+泵体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套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2（一用一备）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生活饮用水加压输送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配套变频控制柜，自动调压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直饮水供水泵组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流量2m³/h，扬程35m，功率1.5kW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304不锈钢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套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2（一用一备）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直饮水加压输送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低噪音设计，适配健康之家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中水回用泵组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流量4m³/h，扬程25m，功率1.5kW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铸铁+防腐涂层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套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2（一用一备）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中水回用加压输送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适配冲厕、绿化灌溉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紫外线消毒器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处理量5m³/h，功率0.75kW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304不锈钢腔体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台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生活饮用水二次消毒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安装于清水池出水管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次氯酸钠投加装置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投加量0~10mg/L，功率0.37kW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PE药箱+计量泵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套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中水回用消毒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自动计量投加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在线水质监测仪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监测浊度、余氯、pH、流量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304不锈钢探头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套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实时监控水质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数据上传至建筑运维平台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电动阀门组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DN50/DN40/DN32，不锈钢材质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304不锈钢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组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管网自动控制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配套PLC控制系统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止回阀/蝶阀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DN50/DN40/DN32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304不锈钢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个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防止水锤、倒流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分布于各管线节点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三、管材管件类</w:t>
      </w:r>
      <w:bookmarkEnd w:id="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材料名称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型号规格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材质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数量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用途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生活饮用水给水管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DN50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食品级304不锈钢管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米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生活饮用水输送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符合《不锈钢卡压式管件》GB/T 19228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直饮水管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DN32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食品级304不锈钢管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米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直饮水输送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内壁抛光，减少细菌滋生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中水回用水管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DN40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PE给水管（1.6MPa）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米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中水回用输送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耐腐蚀，适配杂用水水质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排水管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DN75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UPVC排水管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米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反冲洗废水、污泥排放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符合《建筑排水用硬聚氯乙烯（PVC-U）管材》GB/T 5836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不锈钢管件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弯头、三通、直接头，适配DN50/DN40/DN32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304不锈钢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个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管线连接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卡压式连接，无二次污染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密封材料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食品级橡胶垫片、生料带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食品级硅橡胶/聚四氟乙烯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批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管道密封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符合饮用水卫生标准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四、辅助材料与配件类</w:t>
      </w:r>
      <w:bookmarkEnd w:id="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材料名称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型号规格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材质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数量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用途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人孔盖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适配清水池/水箱，尺寸600×600mm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304不锈钢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个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储水设施检修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带锁扣、密封胶条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溢流管防蚊网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孔径≤2mm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304不锈钢网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米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防止蚊虫、杂物进入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安装于溢流管末端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液位计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磁翻板液位计，量程0~2m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304不锈钢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台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监测储水设施水位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配套4~20mA信号输出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保温材料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厚度20mm，橡塑保温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难燃B1级橡塑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米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350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管道防冻、保温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适配室内外管线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防腐涂料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饮用水级环氧煤沥青漆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环保型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桶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池体、管道防腐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符合饮用水卫生标准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电缆桥架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200×100mm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镀锌钢板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米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设备线缆敷设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配套支架、盖板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电气控制柜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尺寸1200×600×400mm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冷轧钢板+喷塑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台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设备集中控制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配套PLC、触摸屏、断路器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五、采购要求与标准</w:t>
      </w:r>
      <w:bookmarkEnd w:id="4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卫生安全要求</w:t>
      </w:r>
      <w:r>
        <w:rPr>
          <w:rFonts w:eastAsia="等线" w:ascii="Arial" w:cs="Arial" w:hAnsi="Arial"/>
          <w:sz w:val="22"/>
        </w:rPr>
        <w:t>：所有与生活饮用水、直饮水接触的材料，必须符合《生活饮用水输配水设备及防护材料的安全性评价标准》GB/T 17219，不得含有有害物质，不得对水质造成二次污染。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材质要求</w:t>
      </w:r>
      <w:r>
        <w:rPr>
          <w:rFonts w:eastAsia="等线" w:ascii="Arial" w:cs="Arial" w:hAnsi="Arial"/>
          <w:sz w:val="22"/>
        </w:rPr>
        <w:t>：核心储水设施、管道、阀门优先采用食品级304不锈钢，中水回用管道采用PE环保材质，确保耐腐蚀、使用寿命长。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质量标准</w:t>
      </w:r>
      <w:r>
        <w:rPr>
          <w:rFonts w:eastAsia="等线" w:ascii="Arial" w:cs="Arial" w:hAnsi="Arial"/>
          <w:sz w:val="22"/>
        </w:rPr>
        <w:t>：所有设备材料需提供产品合格证、检测报告、卫生许可批件，关键设备需提供第三方环保与安全认证。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安装要求</w:t>
      </w:r>
      <w:r>
        <w:rPr>
          <w:rFonts w:eastAsia="等线" w:ascii="Arial" w:cs="Arial" w:hAnsi="Arial"/>
          <w:sz w:val="22"/>
        </w:rPr>
        <w:t>：储水设施需密闭设计，防止蚊虫、杂物进入；管道连接采用卡压式/热熔连接，避免渗漏；设备安装需符合《建筑给水排水及采暖工程施工质量验收规范》GB 50242。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六、备注</w:t>
      </w:r>
      <w:bookmarkEnd w:id="5"/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本清单为初步采购清单，实际采购数量可根据现场施工需求微调。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所有设备材料需在2026年4月10日前进场，确保水处理系统按期投运。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采购过程需优先选用本地绿色建材产品，符合项目低碳环保要求。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日期</w:t>
      </w:r>
      <w:r>
        <w:rPr>
          <w:rFonts w:eastAsia="等线" w:ascii="Arial" w:cs="Arial" w:hAnsi="Arial"/>
          <w:sz w:val="22"/>
        </w:rPr>
        <w:t>：2026年3月25日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6846274">
    <w:lvl>
      <w:start w:val="1"/>
      <w:numFmt w:val="decimal"/>
      <w:suff w:val="tab"/>
      <w:lvlText w:val="%1."/>
      <w:rPr>
        <w:color w:val="3370ff"/>
      </w:rPr>
    </w:lvl>
  </w:abstractNum>
  <w:abstractNum w:abstractNumId="16846275">
    <w:lvl>
      <w:start w:val="2"/>
      <w:numFmt w:val="decimal"/>
      <w:suff w:val="tab"/>
      <w:lvlText w:val="%1."/>
      <w:rPr>
        <w:color w:val="3370ff"/>
      </w:rPr>
    </w:lvl>
  </w:abstractNum>
  <w:abstractNum w:abstractNumId="16846276">
    <w:lvl>
      <w:start w:val="3"/>
      <w:numFmt w:val="decimal"/>
      <w:suff w:val="tab"/>
      <w:lvlText w:val="%1."/>
      <w:rPr>
        <w:color w:val="3370ff"/>
      </w:rPr>
    </w:lvl>
  </w:abstractNum>
  <w:abstractNum w:abstractNumId="16846277">
    <w:lvl>
      <w:start w:val="4"/>
      <w:numFmt w:val="decimal"/>
      <w:suff w:val="tab"/>
      <w:lvlText w:val="%1."/>
      <w:rPr>
        <w:color w:val="3370ff"/>
      </w:rPr>
    </w:lvl>
  </w:abstractNum>
  <w:abstractNum w:abstractNumId="16846278">
    <w:lvl>
      <w:numFmt w:val="bullet"/>
      <w:suff w:val="tab"/>
      <w:lvlText w:val="•"/>
      <w:rPr>
        <w:color w:val="3370ff"/>
      </w:rPr>
    </w:lvl>
  </w:abstractNum>
  <w:abstractNum w:abstractNumId="16846279">
    <w:lvl>
      <w:numFmt w:val="bullet"/>
      <w:suff w:val="tab"/>
      <w:lvlText w:val="•"/>
      <w:rPr>
        <w:color w:val="3370ff"/>
      </w:rPr>
    </w:lvl>
  </w:abstractNum>
  <w:abstractNum w:abstractNumId="16846280">
    <w:lvl>
      <w:numFmt w:val="bullet"/>
      <w:suff w:val="tab"/>
      <w:lvlText w:val="•"/>
      <w:rPr>
        <w:color w:val="3370ff"/>
      </w:rPr>
    </w:lvl>
  </w:abstractNum>
  <w:num w:numId="1">
    <w:abstractNumId w:val="16846274"/>
  </w:num>
  <w:num w:numId="2">
    <w:abstractNumId w:val="16846275"/>
  </w:num>
  <w:num w:numId="3">
    <w:abstractNumId w:val="16846276"/>
  </w:num>
  <w:num w:numId="4">
    <w:abstractNumId w:val="16846277"/>
  </w:num>
  <w:num w:numId="5">
    <w:abstractNumId w:val="16846278"/>
  </w:num>
  <w:num w:numId="6">
    <w:abstractNumId w:val="16846279"/>
  </w:num>
  <w:num w:numId="7">
    <w:abstractNumId w:val="1684628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2026-03-25T03:37:30Z</dcterms:created>
  <dc:creator>Apache POI</dc:creator>
</cp:coreProperties>
</file>