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绿色产品施工记录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：徽厅聚绿·天井承合——城市会客厅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工程地点</w:t>
      </w:r>
      <w:r>
        <w:rPr>
          <w:rFonts w:eastAsia="等线" w:ascii="Arial" w:cs="Arial" w:hAnsi="Arial"/>
          <w:sz w:val="22"/>
        </w:rPr>
        <w:t>：安徽·合肥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记录编号</w:t>
      </w:r>
      <w:r>
        <w:rPr>
          <w:rFonts w:eastAsia="等线" w:ascii="Arial" w:cs="Arial" w:hAnsi="Arial"/>
          <w:sz w:val="22"/>
        </w:rPr>
        <w:t>：SG-2026-0324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建设单位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施工单位</w:t>
      </w:r>
      <w:r>
        <w:rPr>
          <w:rFonts w:eastAsia="等线" w:ascii="Arial" w:cs="Arial" w:hAnsi="Arial"/>
          <w:sz w:val="22"/>
        </w:rPr>
        <w:t>：建设工程有限公司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监理单位</w:t>
      </w:r>
      <w:r>
        <w:rPr>
          <w:rFonts w:eastAsia="等线" w:ascii="Arial" w:cs="Arial" w:hAnsi="Arial"/>
          <w:sz w:val="22"/>
        </w:rPr>
        <w:t>：工程监理有限公司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记录日期</w:t>
      </w:r>
      <w:r>
        <w:rPr>
          <w:rFonts w:eastAsia="等线" w:ascii="Arial" w:cs="Arial" w:hAnsi="Arial"/>
          <w:sz w:val="22"/>
        </w:rPr>
        <w:t>：2026年3月24日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建筑用途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城市会客厅（公共建筑）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建筑面积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6899 ㎡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建筑层数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地上4层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建筑高度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 m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绿色产品应用范围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内墙环保乳胶漆、环保地砖/木地板、轻钢龙骨吊顶、断桥铝合金窗、环保胶粘剂、环保壁纸等低碳装饰装修材料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施工周期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2025年10月—2026年3月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二、绿色产品进场验收记录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进场日期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合格证/认证编号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验收人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内墙环保乳胶漆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2025-10-15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环保地砖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2025-10-20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8000㎡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复合木地板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2025-11-05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轻钢龙骨吊顶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2025-11-10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3500㎡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断桥铝合金窗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环保胶粘剂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环保壁纸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2025-12-01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1500㎡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GPC-2026-0324-07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三、绿色施工过程记录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3.1 施工工艺与环保控制措施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施工日期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绿色施工措施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执行情况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监理确认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内墙乳胶漆施工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2025-10-25~2025-11-05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采用无气喷涂工艺，减少材料浪费；&lt;br&gt;2. 施工时保持通风，避免VOC累积；&lt;br&gt;3. 剩余涂料密封回收，避免污染。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全部执行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地面材料铺设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2025-11-08~2025-11-25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采用干铺法施工，减少湿作业；&lt;br&gt;2. 胶粘剂选用环保型，现场随用随配；&lt;br&gt;3. 切割废料分类回收，资源化利用。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全部执行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吊顶安装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2025-11-28~2025-12-15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模块化安装，减少现场切割；&lt;br&gt;2. 龙骨采用再生钢材，符合低碳要求；&lt;br&gt;3. 施工噪声控制在60dB以下。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全部执行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门窗安装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2025-12-18~2026-01-05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断桥铝窗采用隔热条密封，提升节能性能；&lt;br&gt;2. 密封胶选用低VOC产品；&lt;br&gt;3. 安装后进行气密性检测，确保节能效果。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全部执行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壁纸粘贴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2026-01-10~2026-01-25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胶粘剂采用环保型，避免甲醛释放；&lt;br&gt;2. 壁纸裁剪余量控制在5%以内，减少浪费；&lt;br&gt;3. 施工后通风72小时以上。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全部执行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3.2 资源节约与废弃物管理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类别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材料损耗率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3.2%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可回收废弃物利用率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施工用水节约率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施工用电节约率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四、质量与环保检测记录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检测日期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室内甲醛浓度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0.02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≤0.07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安徽建筑大学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室内TVOC浓度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0.17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≤0.45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安徽建筑大学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材料甲醛释放量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0.025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≤0.08 mg/m³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第三方检测机构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门窗气密性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≥6级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安徽省建科院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五、绿色产品施工总结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材料管控</w:t>
      </w:r>
      <w:r>
        <w:rPr>
          <w:rFonts w:eastAsia="等线" w:ascii="Arial" w:cs="Arial" w:hAnsi="Arial"/>
          <w:sz w:val="22"/>
        </w:rPr>
        <w:t>：所有绿色产品均按要求进场验收，证件齐全，质量合格，未使用不合格材料。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施工过程</w:t>
      </w:r>
      <w:r>
        <w:rPr>
          <w:rFonts w:eastAsia="等线" w:ascii="Arial" w:cs="Arial" w:hAnsi="Arial"/>
          <w:sz w:val="22"/>
        </w:rPr>
        <w:t>：严格执行绿色施工工艺，有效控制污染物排放，资源利用率达到预期目标。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环保效果</w:t>
      </w:r>
      <w:r>
        <w:rPr>
          <w:rFonts w:eastAsia="等线" w:ascii="Arial" w:cs="Arial" w:hAnsi="Arial"/>
          <w:sz w:val="22"/>
        </w:rPr>
        <w:t>：施工完成后室内空气质量检测达标，符合《民用建筑工程室内环境污染控制标准》要求。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节能效益</w:t>
      </w:r>
      <w:r>
        <w:rPr>
          <w:rFonts w:eastAsia="等线" w:ascii="Arial" w:cs="Arial" w:hAnsi="Arial"/>
          <w:sz w:val="22"/>
        </w:rPr>
        <w:t>：断桥铝合金窗、高效保温材料等绿色产品的应用，预计可降低建筑运行能耗约15%。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七、附件</w:t>
      </w:r>
      <w:bookmarkEnd w:id="7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绿色产品进场验收单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施工工艺交底记录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环保与质量检测报告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废弃物回收处理记录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21592">
    <w:lvl>
      <w:start w:val="1"/>
      <w:numFmt w:val="decimal"/>
      <w:suff w:val="tab"/>
      <w:lvlText w:val="%1."/>
      <w:rPr>
        <w:color w:val="3370ff"/>
      </w:rPr>
    </w:lvl>
  </w:abstractNum>
  <w:abstractNum w:abstractNumId="221593">
    <w:lvl>
      <w:start w:val="2"/>
      <w:numFmt w:val="decimal"/>
      <w:suff w:val="tab"/>
      <w:lvlText w:val="%1."/>
      <w:rPr>
        <w:color w:val="3370ff"/>
      </w:rPr>
    </w:lvl>
  </w:abstractNum>
  <w:abstractNum w:abstractNumId="221594">
    <w:lvl>
      <w:start w:val="3"/>
      <w:numFmt w:val="decimal"/>
      <w:suff w:val="tab"/>
      <w:lvlText w:val="%1."/>
      <w:rPr>
        <w:color w:val="3370ff"/>
      </w:rPr>
    </w:lvl>
  </w:abstractNum>
  <w:abstractNum w:abstractNumId="221595">
    <w:lvl>
      <w:start w:val="4"/>
      <w:numFmt w:val="decimal"/>
      <w:suff w:val="tab"/>
      <w:lvlText w:val="%1."/>
      <w:rPr>
        <w:color w:val="3370ff"/>
      </w:rPr>
    </w:lvl>
  </w:abstractNum>
  <w:abstractNum w:abstractNumId="221596">
    <w:lvl>
      <w:start w:val="1"/>
      <w:numFmt w:val="decimal"/>
      <w:suff w:val="tab"/>
      <w:lvlText w:val="%1."/>
      <w:rPr>
        <w:color w:val="3370ff"/>
      </w:rPr>
    </w:lvl>
  </w:abstractNum>
  <w:abstractNum w:abstractNumId="221597">
    <w:lvl>
      <w:start w:val="2"/>
      <w:numFmt w:val="decimal"/>
      <w:suff w:val="tab"/>
      <w:lvlText w:val="%1."/>
      <w:rPr>
        <w:color w:val="3370ff"/>
      </w:rPr>
    </w:lvl>
  </w:abstractNum>
  <w:abstractNum w:abstractNumId="221598">
    <w:lvl>
      <w:start w:val="3"/>
      <w:numFmt w:val="decimal"/>
      <w:suff w:val="tab"/>
      <w:lvlText w:val="%1."/>
      <w:rPr>
        <w:color w:val="3370ff"/>
      </w:rPr>
    </w:lvl>
  </w:abstractNum>
  <w:abstractNum w:abstractNumId="221599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21592"/>
  </w:num>
  <w:num w:numId="2">
    <w:abstractNumId w:val="221593"/>
  </w:num>
  <w:num w:numId="3">
    <w:abstractNumId w:val="221594"/>
  </w:num>
  <w:num w:numId="4">
    <w:abstractNumId w:val="221595"/>
  </w:num>
  <w:num w:numId="5">
    <w:abstractNumId w:val="221596"/>
  </w:num>
  <w:num w:numId="6">
    <w:abstractNumId w:val="221597"/>
  </w:num>
  <w:num w:numId="7">
    <w:abstractNumId w:val="221598"/>
  </w:num>
  <w:num w:numId="8">
    <w:abstractNumId w:val="22159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2026-03-25T02:11:51Z</dcterms:created>
  <dc:creator>Apache POI</dc:creator>
</cp:coreProperties>
</file>