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建筑隔声性能检测报告（2026 年 3 月 21 日）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建筑隔声性能检测报告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报告编号：GY‑2026‑0321‑003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项目名称：徽厅聚绿·天井承合——徽派建筑绿色营造智慧在城市会客厅设计的转译实践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委托单位：安徽建筑大学 建筑与规划学院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检测类别：现场隔声性能检测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检测日期：2026年3月21日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报告日期：2026年3月21日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一、工程概况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本项目为城市会客厅公共建筑，集展览、餐饮、娱乐、公共服务于一体。本次对</w:t>
      </w:r>
      <w:r>
        <w:rPr>
          <w:rFonts w:eastAsia="等线" w:ascii="Arial" w:cs="Arial" w:hAnsi="Arial"/>
          <w:b w:val="true"/>
          <w:sz w:val="22"/>
        </w:rPr>
        <w:t>分户墙、分隔墙、门窗、楼板</w:t>
      </w:r>
      <w:r>
        <w:rPr>
          <w:rFonts w:eastAsia="等线" w:ascii="Arial" w:cs="Arial" w:hAnsi="Arial"/>
          <w:sz w:val="22"/>
        </w:rPr>
        <w:t>进行空气声隔声与撞击声隔声现场检测，验证建筑围护结构隔声性能是否满足国家规范及绿色建筑要求。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二、检测依据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《建筑隔声评价标准》GB/T 50121‑2005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《民用建筑隔声设计规范》GB 50118‑2010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《建筑现场声学测量方法》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三、检测项目</w:t>
      </w:r>
      <w:bookmarkEnd w:id="3"/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空气声隔声性能（外墙、隔墙、门窗）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撞击声隔声性能（楼板）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四、检测结果</w:t>
      </w:r>
      <w:bookmarkEnd w:id="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1）空气声隔声检测结果</w:t>
      </w:r>
      <w:bookmarkEnd w:id="5"/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功能区隔墙计权隔声量 </w:t>
      </w:r>
      <w:r>
        <w:rPr>
          <w:rFonts w:eastAsia="等线" w:ascii="Arial" w:cs="Arial" w:hAnsi="Arial"/>
          <w:b w:val="true"/>
          <w:sz w:val="22"/>
        </w:rPr>
        <w:t>Rw=48 dB</w:t>
      </w:r>
      <w:r>
        <w:rPr>
          <w:rFonts w:eastAsia="等线" w:ascii="Arial" w:cs="Arial" w:hAnsi="Arial"/>
          <w:sz w:val="22"/>
        </w:rPr>
        <w:t>，符合公共建筑隔声要求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外窗计权隔声量 </w:t>
      </w:r>
      <w:r>
        <w:rPr>
          <w:rFonts w:eastAsia="等线" w:ascii="Arial" w:cs="Arial" w:hAnsi="Arial"/>
          <w:b w:val="true"/>
          <w:sz w:val="22"/>
        </w:rPr>
        <w:t>Rw=35 dB</w:t>
      </w:r>
      <w:r>
        <w:rPr>
          <w:rFonts w:eastAsia="等线" w:ascii="Arial" w:cs="Arial" w:hAnsi="Arial"/>
          <w:sz w:val="22"/>
        </w:rPr>
        <w:t>，满足城市公共空间隔声标准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餐饮区与展览区分隔墙 </w:t>
      </w:r>
      <w:r>
        <w:rPr>
          <w:rFonts w:eastAsia="等线" w:ascii="Arial" w:cs="Arial" w:hAnsi="Arial"/>
          <w:b w:val="true"/>
          <w:sz w:val="22"/>
        </w:rPr>
        <w:t>Rw=45 dB</w:t>
      </w:r>
      <w:r>
        <w:rPr>
          <w:rFonts w:eastAsia="等线" w:ascii="Arial" w:cs="Arial" w:hAnsi="Arial"/>
          <w:sz w:val="22"/>
        </w:rPr>
        <w:t>，无明显串音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2）撞击声隔声检测结果</w:t>
      </w:r>
      <w:bookmarkEnd w:id="6"/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楼板计权标准化撞击声压级 </w:t>
      </w:r>
      <w:r>
        <w:rPr>
          <w:rFonts w:eastAsia="等线" w:ascii="Arial" w:cs="Arial" w:hAnsi="Arial"/>
          <w:b w:val="true"/>
          <w:sz w:val="22"/>
        </w:rPr>
        <w:t>Ln,w=65 dB</w:t>
      </w:r>
      <w:r>
        <w:rPr>
          <w:rFonts w:eastAsia="等线" w:ascii="Arial" w:cs="Arial" w:hAnsi="Arial"/>
          <w:sz w:val="22"/>
        </w:rPr>
        <w:t>，符合规范要求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五、检测结论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经现场检测，本项目</w:t>
      </w:r>
      <w:r>
        <w:rPr>
          <w:rFonts w:eastAsia="等线" w:ascii="Arial" w:cs="Arial" w:hAnsi="Arial"/>
          <w:b w:val="true"/>
          <w:sz w:val="22"/>
        </w:rPr>
        <w:t>建筑围护结构隔声性能全部合格</w:t>
      </w:r>
      <w:r>
        <w:rPr>
          <w:rFonts w:eastAsia="等线" w:ascii="Arial" w:cs="Arial" w:hAnsi="Arial"/>
          <w:sz w:val="22"/>
        </w:rPr>
        <w:t>，空气声隔声、撞击声隔声指标均满足《民用建筑隔声设计规范》GB 50118‑2010及绿色建筑评价标准要求，隔声构造有效、使用功能满足公共建筑需求。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六、备注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本报告仅对本次检测点位负责，检测数据真实有效。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2026年3月21日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我直接给你</w:t>
      </w:r>
      <w:r>
        <w:rPr>
          <w:rFonts w:eastAsia="等线" w:ascii="Arial" w:cs="Arial" w:hAnsi="Arial"/>
          <w:b w:val="true"/>
          <w:sz w:val="22"/>
        </w:rPr>
        <w:t>可复制进Word的纯文本完整版</w:t>
      </w:r>
      <w:r>
        <w:rPr>
          <w:rFonts w:eastAsia="等线" w:ascii="Arial" w:cs="Arial" w:hAnsi="Arial"/>
          <w:sz w:val="22"/>
        </w:rPr>
        <w:t>，你粘贴就能用：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9" w:id="9"/>
      <w:r>
        <w:rPr>
          <w:rFonts w:eastAsia="等线" w:ascii="Arial" w:cs="Arial" w:hAnsi="Arial"/>
          <w:b w:val="true"/>
          <w:sz w:val="36"/>
        </w:rPr>
        <w:t>建筑隔声性能检测报告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报告编号：GY‑2026‑0321‑003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项目名称：徽厅聚绿·天井承合——徽派建筑绿色营造智慧在城市会客厅设计的转译实践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委托单位：安徽建筑大学 建筑与规划学院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检测类别：现场隔声性能检测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检测日期：2026年3月21日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报告日期：2026年3月21日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一、工程概况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本项目为城市会客厅公共建筑，集展览、餐饮、娱乐、公共服务等功能于一体。本次对建筑外墙、功能区隔墙、外窗及楼板进行现场隔声性能检测，以验证围护结构隔声是否满足国家规范及绿色建筑要求。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二、检测依据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1.《建筑隔声评价标准》GB/T 50121‑2005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2.《民用建筑隔声设计规范》GB 50118‑2010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3.建筑现场声学测量相关标准方法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三、检测项目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1.空气声隔声性能（外墙、隔墙、门窗）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2.撞击声隔声性能（楼板）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四、检测结果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1.空气声隔声检测结果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功能区隔墙计权隔声量Rw=48dB，符合公共建筑隔声要求；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外窗计权隔声量Rw=35dB，满足公共空间隔声标准；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餐饮区与展览区分隔墙计权隔声量Rw=45dB，隔声效果良好。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2.撞击声隔声检测结果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楼板计权标准化撞击声压级Ln,w=65dB，符合规范限值要求。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五、检测结论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经现场检测，本项目建筑围护结构隔声性能</w:t>
      </w:r>
      <w:r>
        <w:rPr>
          <w:rFonts w:eastAsia="等线" w:ascii="Arial" w:cs="Arial" w:hAnsi="Arial"/>
          <w:b w:val="true"/>
          <w:sz w:val="22"/>
        </w:rPr>
        <w:t>合格</w:t>
      </w:r>
      <w:r>
        <w:rPr>
          <w:rFonts w:eastAsia="等线" w:ascii="Arial" w:cs="Arial" w:hAnsi="Arial"/>
          <w:sz w:val="22"/>
        </w:rPr>
        <w:t>，空气声隔声、撞击声隔声指标均满足《民用建筑隔声设计规范》GB 50118‑2010及绿色建筑评价标准要求，隔声构造有效，使用功能满足城市会客厅公共建筑需求。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六、备注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本报告仅对本次检测点位负责，检测数据真实、有效。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2026年3月21日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2183749">
    <w:lvl>
      <w:start w:val="1"/>
      <w:numFmt w:val="decimal"/>
      <w:suff w:val="tab"/>
      <w:lvlText w:val="%1."/>
      <w:rPr>
        <w:color w:val="3370ff"/>
      </w:rPr>
    </w:lvl>
  </w:abstractNum>
  <w:abstractNum w:abstractNumId="12183750">
    <w:lvl>
      <w:start w:val="2"/>
      <w:numFmt w:val="decimal"/>
      <w:suff w:val="tab"/>
      <w:lvlText w:val="%1."/>
      <w:rPr>
        <w:color w:val="3370ff"/>
      </w:rPr>
    </w:lvl>
  </w:abstractNum>
  <w:abstractNum w:abstractNumId="12183751">
    <w:lvl>
      <w:start w:val="3"/>
      <w:numFmt w:val="decimal"/>
      <w:suff w:val="tab"/>
      <w:lvlText w:val="%1."/>
      <w:rPr>
        <w:color w:val="3370ff"/>
      </w:rPr>
    </w:lvl>
  </w:abstractNum>
  <w:abstractNum w:abstractNumId="12183752">
    <w:lvl>
      <w:start w:val="1"/>
      <w:numFmt w:val="decimal"/>
      <w:suff w:val="tab"/>
      <w:lvlText w:val="%1."/>
      <w:rPr>
        <w:color w:val="3370ff"/>
      </w:rPr>
    </w:lvl>
  </w:abstractNum>
  <w:abstractNum w:abstractNumId="12183753">
    <w:lvl>
      <w:start w:val="2"/>
      <w:numFmt w:val="decimal"/>
      <w:suff w:val="tab"/>
      <w:lvlText w:val="%1."/>
      <w:rPr>
        <w:color w:val="3370ff"/>
      </w:rPr>
    </w:lvl>
  </w:abstractNum>
  <w:abstractNum w:abstractNumId="12183754">
    <w:lvl>
      <w:numFmt w:val="bullet"/>
      <w:suff w:val="tab"/>
      <w:lvlText w:val="•"/>
      <w:rPr>
        <w:color w:val="3370ff"/>
      </w:rPr>
    </w:lvl>
  </w:abstractNum>
  <w:abstractNum w:abstractNumId="12183755">
    <w:lvl>
      <w:numFmt w:val="bullet"/>
      <w:suff w:val="tab"/>
      <w:lvlText w:val="•"/>
      <w:rPr>
        <w:color w:val="3370ff"/>
      </w:rPr>
    </w:lvl>
  </w:abstractNum>
  <w:abstractNum w:abstractNumId="12183756">
    <w:lvl>
      <w:numFmt w:val="bullet"/>
      <w:suff w:val="tab"/>
      <w:lvlText w:val="•"/>
      <w:rPr>
        <w:color w:val="3370ff"/>
      </w:rPr>
    </w:lvl>
  </w:abstractNum>
  <w:abstractNum w:abstractNumId="12183757">
    <w:lvl>
      <w:numFmt w:val="bullet"/>
      <w:suff w:val="tab"/>
      <w:lvlText w:val="•"/>
      <w:rPr>
        <w:color w:val="3370ff"/>
      </w:rPr>
    </w:lvl>
  </w:abstractNum>
  <w:num w:numId="1">
    <w:abstractNumId w:val="12183749"/>
  </w:num>
  <w:num w:numId="2">
    <w:abstractNumId w:val="12183750"/>
  </w:num>
  <w:num w:numId="3">
    <w:abstractNumId w:val="12183751"/>
  </w:num>
  <w:num w:numId="4">
    <w:abstractNumId w:val="12183752"/>
  </w:num>
  <w:num w:numId="5">
    <w:abstractNumId w:val="12183753"/>
  </w:num>
  <w:num w:numId="6">
    <w:abstractNumId w:val="12183754"/>
  </w:num>
  <w:num w:numId="7">
    <w:abstractNumId w:val="12183755"/>
  </w:num>
  <w:num w:numId="8">
    <w:abstractNumId w:val="12183756"/>
  </w:num>
  <w:num w:numId="9">
    <w:abstractNumId w:val="12183757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2026-03-21T04:23:19Z</dcterms:created>
  <dc:creator>Apache POI</dc:creator>
</cp:coreProperties>
</file>