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项目实际影像资料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项目名称</w:t>
      </w:r>
      <w:r>
        <w:rPr>
          <w:rFonts w:eastAsia="等线" w:ascii="Arial" w:cs="Arial" w:hAnsi="Arial"/>
          <w:sz w:val="22"/>
        </w:rPr>
        <w:t>：徽厅聚绿·天井承合——徽派建筑绿色营造智慧在城市会客厅设计的转译实践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资料编制单位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编制日期</w:t>
      </w:r>
      <w:r>
        <w:rPr>
          <w:rFonts w:eastAsia="等线" w:ascii="Arial" w:cs="Arial" w:hAnsi="Arial"/>
          <w:sz w:val="22"/>
        </w:rPr>
        <w:t>：2026年3月22日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编制人</w:t>
      </w:r>
      <w:r>
        <w:rPr>
          <w:rFonts w:eastAsia="等线" w:ascii="Arial" w:cs="Arial" w:hAnsi="Arial"/>
          <w:sz w:val="22"/>
        </w:rPr>
        <w:t>：陈子琦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审核人</w:t>
      </w:r>
      <w:r>
        <w:rPr>
          <w:rFonts w:eastAsia="等线" w:ascii="Arial" w:cs="Arial" w:hAnsi="Arial"/>
          <w:sz w:val="22"/>
        </w:rPr>
        <w:t>：许杰青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一、影像资料概况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本项目影像资料全面记录了从</w:t>
      </w:r>
      <w:r>
        <w:rPr>
          <w:rFonts w:eastAsia="等线" w:ascii="Arial" w:cs="Arial" w:hAnsi="Arial"/>
          <w:b w:val="true"/>
          <w:sz w:val="22"/>
        </w:rPr>
        <w:t>方案设计、施工建造到竣工运营</w:t>
      </w:r>
      <w:r>
        <w:rPr>
          <w:rFonts w:eastAsia="等线" w:ascii="Arial" w:cs="Arial" w:hAnsi="Arial"/>
          <w:sz w:val="22"/>
        </w:rPr>
        <w:t>的全流程，涵盖建筑整体风貌、空间细节、文化传承元素、绿色技术应用及现场实景，为项目申报、成果展示与技术复盘提供直观视觉依据。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（一）资料分类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类别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内容说明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格式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设计阶段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方案效果图、分析图、BIM模型截图、文化元素提取图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45张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JPG/PNG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施工阶段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现场施工照片、关键节点施工记录、材料进场验收照片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82张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JPG/MP4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竣工阶段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建筑整体实景、室内空间、立面细节、天井中庭、景观环境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63张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JPG/MP4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运营阶段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公共活动场景、能耗监测界面、用户体验反馈照片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28张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JPG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（二）存储与管理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存储路径：项目服务器/影像资料/（按阶段分类文件夹）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命名规范：</w:t>
      </w:r>
      <w:r>
        <w:rPr>
          <w:rFonts w:eastAsia="Consolas" w:ascii="Consolas" w:cs="Consolas" w:hAnsi="Consolas"/>
          <w:sz w:val="22"/>
          <w:shd w:fill="EFF0F1"/>
        </w:rPr>
        <w:t>阶段-内容-日期</w:t>
      </w:r>
      <w:r>
        <w:rPr>
          <w:rFonts w:eastAsia="等线" w:ascii="Arial" w:cs="Arial" w:hAnsi="Arial"/>
          <w:sz w:val="22"/>
        </w:rPr>
        <w:t>（例：</w:t>
      </w:r>
      <w:r>
        <w:rPr>
          <w:rFonts w:eastAsia="Consolas" w:ascii="Consolas" w:cs="Consolas" w:hAnsi="Consolas"/>
          <w:sz w:val="22"/>
          <w:shd w:fill="EFF0F1"/>
        </w:rPr>
        <w:t>竣工-天井中庭-20260320</w:t>
      </w:r>
      <w:r>
        <w:rPr>
          <w:rFonts w:eastAsia="等线" w:ascii="Arial" w:cs="Arial" w:hAnsi="Arial"/>
          <w:sz w:val="22"/>
        </w:rPr>
        <w:t>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备份方式：本地硬盘+云端双重备份，确保资料安全可追溯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二、核心影像内容说明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（一）设计阶段影像</w:t>
      </w:r>
      <w:bookmarkEnd w:id="4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方案效果图</w:t>
      </w:r>
      <w:r>
        <w:rPr>
          <w:rFonts w:eastAsia="等线" w:ascii="Arial" w:cs="Arial" w:hAnsi="Arial"/>
          <w:sz w:val="22"/>
        </w:rPr>
        <w:t>：展示建筑整体形态、粉墙黛瓦立面、天井中庭空间效果，体现徽派建筑文化转译。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文化元素分析图</w:t>
      </w:r>
      <w:r>
        <w:rPr>
          <w:rFonts w:eastAsia="等线" w:ascii="Arial" w:cs="Arial" w:hAnsi="Arial"/>
          <w:sz w:val="22"/>
        </w:rPr>
        <w:t>：提取马头墙、天井、木雕等传统元素，对比现代设计应用，清晰呈现传承逻辑。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BIM模型截图</w:t>
      </w:r>
      <w:r>
        <w:rPr>
          <w:rFonts w:eastAsia="等线" w:ascii="Arial" w:cs="Arial" w:hAnsi="Arial"/>
          <w:sz w:val="22"/>
        </w:rPr>
        <w:t>：展示结构体系、管线综合、被动通风模拟等绿色技术设计细节。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（二）施工阶段影像</w:t>
      </w:r>
      <w:bookmarkEnd w:id="5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基础与结构施工</w:t>
      </w:r>
      <w:r>
        <w:rPr>
          <w:rFonts w:eastAsia="等线" w:ascii="Arial" w:cs="Arial" w:hAnsi="Arial"/>
          <w:sz w:val="22"/>
        </w:rPr>
        <w:t>：记录框架结构浇筑、屋面钢结构安装、天井中庭骨架搭建等关键节点。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立面与装饰施工</w:t>
      </w:r>
      <w:r>
        <w:rPr>
          <w:rFonts w:eastAsia="等线" w:ascii="Arial" w:cs="Arial" w:hAnsi="Arial"/>
          <w:sz w:val="22"/>
        </w:rPr>
        <w:t>：拍摄真石漆粉刷、金属屋面铺设、传统装饰元素模块化安装过程。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绿色技术施工</w:t>
      </w:r>
      <w:r>
        <w:rPr>
          <w:rFonts w:eastAsia="等线" w:ascii="Arial" w:cs="Arial" w:hAnsi="Arial"/>
          <w:sz w:val="22"/>
        </w:rPr>
        <w:t>：记录雨水收集管道铺设、通风百叶安装、节能门窗施工等细节。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（三）竣工阶段影像</w:t>
      </w:r>
      <w:bookmarkEnd w:id="6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建筑整体实景</w:t>
      </w:r>
      <w:r>
        <w:rPr>
          <w:rFonts w:eastAsia="等线" w:ascii="Arial" w:cs="Arial" w:hAnsi="Arial"/>
          <w:sz w:val="22"/>
        </w:rPr>
        <w:t>：多角度拍摄建筑外观，展现粉墙黛瓦、折线檐口的地域风貌。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室内空间实景</w:t>
      </w:r>
      <w:r>
        <w:rPr>
          <w:rFonts w:eastAsia="等线" w:ascii="Arial" w:cs="Arial" w:hAnsi="Arial"/>
          <w:sz w:val="22"/>
        </w:rPr>
        <w:t>：重点拍摄天井中庭、公共展厅、休息区等核心空间，体现自然采光与通风效果。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细节与文化元素</w:t>
      </w:r>
      <w:r>
        <w:rPr>
          <w:rFonts w:eastAsia="等线" w:ascii="Arial" w:cs="Arial" w:hAnsi="Arial"/>
          <w:sz w:val="22"/>
        </w:rPr>
        <w:t>：拍摄抽象化马头墙檐口、传统纹样隔断、木雕元素家具等文化传承细节。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景观与环境</w:t>
      </w:r>
      <w:r>
        <w:rPr>
          <w:rFonts w:eastAsia="等线" w:ascii="Arial" w:cs="Arial" w:hAnsi="Arial"/>
          <w:sz w:val="22"/>
        </w:rPr>
        <w:t>：记录天井雨水花园、本地植物绿化、透水铺装等生态景观。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（四）运营阶段影像</w:t>
      </w:r>
      <w:bookmarkEnd w:id="7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公共活动场景</w:t>
      </w:r>
      <w:r>
        <w:rPr>
          <w:rFonts w:eastAsia="等线" w:ascii="Arial" w:cs="Arial" w:hAnsi="Arial"/>
          <w:sz w:val="22"/>
        </w:rPr>
        <w:t>：记录展览、交流、休憩等使用场景，体现建筑公共性与活力。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能耗与环境监测</w:t>
      </w:r>
      <w:r>
        <w:rPr>
          <w:rFonts w:eastAsia="等线" w:ascii="Arial" w:cs="Arial" w:hAnsi="Arial"/>
          <w:sz w:val="22"/>
        </w:rPr>
        <w:t>：拍摄智能管理平台界面，展示实时能耗、温湿度、CO₂浓度等数据。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用户体验反馈</w:t>
      </w:r>
      <w:r>
        <w:rPr>
          <w:rFonts w:eastAsia="等线" w:ascii="Arial" w:cs="Arial" w:hAnsi="Arial"/>
          <w:sz w:val="22"/>
        </w:rPr>
        <w:t>：记录市民参观、使用场景，体现建筑的社会价值与文化认同。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三、影像资料使用说明</w:t>
      </w:r>
      <w:bookmarkEnd w:id="8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申报用途</w:t>
      </w:r>
      <w:r>
        <w:rPr>
          <w:rFonts w:eastAsia="等线" w:ascii="Arial" w:cs="Arial" w:hAnsi="Arial"/>
          <w:sz w:val="22"/>
        </w:rPr>
        <w:t>：作为绿色建筑评价、文化传承专项论证、旧建筑资源利用等申报环节的直观证明材料。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展示用途</w:t>
      </w:r>
      <w:r>
        <w:rPr>
          <w:rFonts w:eastAsia="等线" w:ascii="Arial" w:cs="Arial" w:hAnsi="Arial"/>
          <w:sz w:val="22"/>
        </w:rPr>
        <w:t>：用于项目成果展览、学术交流、媒体宣传，直观呈现设计理念与实施效果。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技术复盘</w:t>
      </w:r>
      <w:r>
        <w:rPr>
          <w:rFonts w:eastAsia="等线" w:ascii="Arial" w:cs="Arial" w:hAnsi="Arial"/>
          <w:sz w:val="22"/>
        </w:rPr>
        <w:t>：为后续同类项目提供设计、施工、运营的视觉参考与经验借鉴。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四、附件清单</w:t>
      </w:r>
      <w:bookmarkEnd w:id="9"/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设计阶段影像资料文件夹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施工阶段影像资料文件夹（含关键节点短视频）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竣工阶段影像资料文件夹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运营阶段影像资料文件夹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影像资料索引表（含文件名、拍摄日期、内容说明）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编制单位（盖章）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日期</w:t>
      </w:r>
      <w:r>
        <w:rPr>
          <w:rFonts w:eastAsia="等线" w:ascii="Arial" w:cs="Arial" w:hAnsi="Arial"/>
          <w:sz w:val="22"/>
        </w:rPr>
        <w:t>：2026年3月22日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8317826">
    <w:lvl>
      <w:numFmt w:val="bullet"/>
      <w:suff w:val="tab"/>
      <w:lvlText w:val="•"/>
      <w:rPr>
        <w:color w:val="3370ff"/>
      </w:rPr>
    </w:lvl>
  </w:abstractNum>
  <w:abstractNum w:abstractNumId="8317827">
    <w:lvl>
      <w:numFmt w:val="bullet"/>
      <w:suff w:val="tab"/>
      <w:lvlText w:val="•"/>
      <w:rPr>
        <w:color w:val="3370ff"/>
      </w:rPr>
    </w:lvl>
  </w:abstractNum>
  <w:abstractNum w:abstractNumId="8317828">
    <w:lvl>
      <w:numFmt w:val="bullet"/>
      <w:suff w:val="tab"/>
      <w:lvlText w:val="•"/>
      <w:rPr>
        <w:color w:val="3370ff"/>
      </w:rPr>
    </w:lvl>
  </w:abstractNum>
  <w:abstractNum w:abstractNumId="8317829">
    <w:lvl>
      <w:start w:val="1"/>
      <w:numFmt w:val="decimal"/>
      <w:suff w:val="tab"/>
      <w:lvlText w:val="%1."/>
      <w:rPr>
        <w:color w:val="3370ff"/>
      </w:rPr>
    </w:lvl>
  </w:abstractNum>
  <w:abstractNum w:abstractNumId="8317830">
    <w:lvl>
      <w:start w:val="2"/>
      <w:numFmt w:val="decimal"/>
      <w:suff w:val="tab"/>
      <w:lvlText w:val="%1."/>
      <w:rPr>
        <w:color w:val="3370ff"/>
      </w:rPr>
    </w:lvl>
  </w:abstractNum>
  <w:abstractNum w:abstractNumId="8317831">
    <w:lvl>
      <w:start w:val="3"/>
      <w:numFmt w:val="decimal"/>
      <w:suff w:val="tab"/>
      <w:lvlText w:val="%1."/>
      <w:rPr>
        <w:color w:val="3370ff"/>
      </w:rPr>
    </w:lvl>
  </w:abstractNum>
  <w:abstractNum w:abstractNumId="8317832">
    <w:lvl>
      <w:start w:val="1"/>
      <w:numFmt w:val="decimal"/>
      <w:suff w:val="tab"/>
      <w:lvlText w:val="%1."/>
      <w:rPr>
        <w:color w:val="3370ff"/>
      </w:rPr>
    </w:lvl>
  </w:abstractNum>
  <w:abstractNum w:abstractNumId="8317833">
    <w:lvl>
      <w:start w:val="2"/>
      <w:numFmt w:val="decimal"/>
      <w:suff w:val="tab"/>
      <w:lvlText w:val="%1."/>
      <w:rPr>
        <w:color w:val="3370ff"/>
      </w:rPr>
    </w:lvl>
  </w:abstractNum>
  <w:abstractNum w:abstractNumId="8317834">
    <w:lvl>
      <w:start w:val="3"/>
      <w:numFmt w:val="decimal"/>
      <w:suff w:val="tab"/>
      <w:lvlText w:val="%1."/>
      <w:rPr>
        <w:color w:val="3370ff"/>
      </w:rPr>
    </w:lvl>
  </w:abstractNum>
  <w:abstractNum w:abstractNumId="8317835">
    <w:lvl>
      <w:start w:val="1"/>
      <w:numFmt w:val="decimal"/>
      <w:suff w:val="tab"/>
      <w:lvlText w:val="%1."/>
      <w:rPr>
        <w:color w:val="3370ff"/>
      </w:rPr>
    </w:lvl>
  </w:abstractNum>
  <w:abstractNum w:abstractNumId="8317836">
    <w:lvl>
      <w:start w:val="2"/>
      <w:numFmt w:val="decimal"/>
      <w:suff w:val="tab"/>
      <w:lvlText w:val="%1."/>
      <w:rPr>
        <w:color w:val="3370ff"/>
      </w:rPr>
    </w:lvl>
  </w:abstractNum>
  <w:abstractNum w:abstractNumId="8317837">
    <w:lvl>
      <w:start w:val="3"/>
      <w:numFmt w:val="decimal"/>
      <w:suff w:val="tab"/>
      <w:lvlText w:val="%1."/>
      <w:rPr>
        <w:color w:val="3370ff"/>
      </w:rPr>
    </w:lvl>
  </w:abstractNum>
  <w:abstractNum w:abstractNumId="8317838">
    <w:lvl>
      <w:start w:val="4"/>
      <w:numFmt w:val="decimal"/>
      <w:suff w:val="tab"/>
      <w:lvlText w:val="%1."/>
      <w:rPr>
        <w:color w:val="3370ff"/>
      </w:rPr>
    </w:lvl>
  </w:abstractNum>
  <w:abstractNum w:abstractNumId="8317839">
    <w:lvl>
      <w:start w:val="1"/>
      <w:numFmt w:val="decimal"/>
      <w:suff w:val="tab"/>
      <w:lvlText w:val="%1."/>
      <w:rPr>
        <w:color w:val="3370ff"/>
      </w:rPr>
    </w:lvl>
  </w:abstractNum>
  <w:abstractNum w:abstractNumId="8317840">
    <w:lvl>
      <w:start w:val="2"/>
      <w:numFmt w:val="decimal"/>
      <w:suff w:val="tab"/>
      <w:lvlText w:val="%1."/>
      <w:rPr>
        <w:color w:val="3370ff"/>
      </w:rPr>
    </w:lvl>
  </w:abstractNum>
  <w:abstractNum w:abstractNumId="8317841">
    <w:lvl>
      <w:start w:val="3"/>
      <w:numFmt w:val="decimal"/>
      <w:suff w:val="tab"/>
      <w:lvlText w:val="%1."/>
      <w:rPr>
        <w:color w:val="3370ff"/>
      </w:rPr>
    </w:lvl>
  </w:abstractNum>
  <w:abstractNum w:abstractNumId="8317842">
    <w:lvl>
      <w:start w:val="1"/>
      <w:numFmt w:val="decimal"/>
      <w:suff w:val="tab"/>
      <w:lvlText w:val="%1."/>
      <w:rPr>
        <w:color w:val="3370ff"/>
      </w:rPr>
    </w:lvl>
  </w:abstractNum>
  <w:abstractNum w:abstractNumId="8317843">
    <w:lvl>
      <w:start w:val="2"/>
      <w:numFmt w:val="decimal"/>
      <w:suff w:val="tab"/>
      <w:lvlText w:val="%1."/>
      <w:rPr>
        <w:color w:val="3370ff"/>
      </w:rPr>
    </w:lvl>
  </w:abstractNum>
  <w:abstractNum w:abstractNumId="8317844">
    <w:lvl>
      <w:start w:val="3"/>
      <w:numFmt w:val="decimal"/>
      <w:suff w:val="tab"/>
      <w:lvlText w:val="%1."/>
      <w:rPr>
        <w:color w:val="3370ff"/>
      </w:rPr>
    </w:lvl>
  </w:abstractNum>
  <w:abstractNum w:abstractNumId="8317845">
    <w:lvl>
      <w:start w:val="1"/>
      <w:numFmt w:val="decimal"/>
      <w:suff w:val="tab"/>
      <w:lvlText w:val="%1."/>
      <w:rPr>
        <w:color w:val="3370ff"/>
      </w:rPr>
    </w:lvl>
  </w:abstractNum>
  <w:abstractNum w:abstractNumId="8317846">
    <w:lvl>
      <w:start w:val="2"/>
      <w:numFmt w:val="decimal"/>
      <w:suff w:val="tab"/>
      <w:lvlText w:val="%1."/>
      <w:rPr>
        <w:color w:val="3370ff"/>
      </w:rPr>
    </w:lvl>
  </w:abstractNum>
  <w:abstractNum w:abstractNumId="8317847">
    <w:lvl>
      <w:start w:val="3"/>
      <w:numFmt w:val="decimal"/>
      <w:suff w:val="tab"/>
      <w:lvlText w:val="%1."/>
      <w:rPr>
        <w:color w:val="3370ff"/>
      </w:rPr>
    </w:lvl>
  </w:abstractNum>
  <w:abstractNum w:abstractNumId="8317848">
    <w:lvl>
      <w:start w:val="4"/>
      <w:numFmt w:val="decimal"/>
      <w:suff w:val="tab"/>
      <w:lvlText w:val="%1."/>
      <w:rPr>
        <w:color w:val="3370ff"/>
      </w:rPr>
    </w:lvl>
  </w:abstractNum>
  <w:abstractNum w:abstractNumId="8317849">
    <w:lvl>
      <w:start w:val="5"/>
      <w:numFmt w:val="decimal"/>
      <w:suff w:val="tab"/>
      <w:lvlText w:val="%1."/>
      <w:rPr>
        <w:color w:val="3370ff"/>
      </w:rPr>
    </w:lvl>
  </w:abstractNum>
  <w:num w:numId="1">
    <w:abstractNumId w:val="8317826"/>
  </w:num>
  <w:num w:numId="2">
    <w:abstractNumId w:val="8317827"/>
  </w:num>
  <w:num w:numId="3">
    <w:abstractNumId w:val="8317828"/>
  </w:num>
  <w:num w:numId="4">
    <w:abstractNumId w:val="8317829"/>
  </w:num>
  <w:num w:numId="5">
    <w:abstractNumId w:val="8317830"/>
  </w:num>
  <w:num w:numId="6">
    <w:abstractNumId w:val="8317831"/>
  </w:num>
  <w:num w:numId="7">
    <w:abstractNumId w:val="8317832"/>
  </w:num>
  <w:num w:numId="8">
    <w:abstractNumId w:val="8317833"/>
  </w:num>
  <w:num w:numId="9">
    <w:abstractNumId w:val="8317834"/>
  </w:num>
  <w:num w:numId="10">
    <w:abstractNumId w:val="8317835"/>
  </w:num>
  <w:num w:numId="11">
    <w:abstractNumId w:val="8317836"/>
  </w:num>
  <w:num w:numId="12">
    <w:abstractNumId w:val="8317837"/>
  </w:num>
  <w:num w:numId="13">
    <w:abstractNumId w:val="8317838"/>
  </w:num>
  <w:num w:numId="14">
    <w:abstractNumId w:val="8317839"/>
  </w:num>
  <w:num w:numId="15">
    <w:abstractNumId w:val="8317840"/>
  </w:num>
  <w:num w:numId="16">
    <w:abstractNumId w:val="8317841"/>
  </w:num>
  <w:num w:numId="17">
    <w:abstractNumId w:val="8317842"/>
  </w:num>
  <w:num w:numId="18">
    <w:abstractNumId w:val="8317843"/>
  </w:num>
  <w:num w:numId="19">
    <w:abstractNumId w:val="8317844"/>
  </w:num>
  <w:num w:numId="20">
    <w:abstractNumId w:val="8317845"/>
  </w:num>
  <w:num w:numId="21">
    <w:abstractNumId w:val="8317846"/>
  </w:num>
  <w:num w:numId="22">
    <w:abstractNumId w:val="8317847"/>
  </w:num>
  <w:num w:numId="23">
    <w:abstractNumId w:val="8317848"/>
  </w:num>
  <w:num w:numId="24">
    <w:abstractNumId w:val="8317849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2026-03-22T07:38:10Z</dcterms:created>
  <dc:creator>Apache POI</dc:creator>
</cp:coreProperties>
</file>