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4.1.9安全耐久相关技术要求应符合现行强制性工程建设规范《工程结构通用规范》GB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简要说明安全耐久相关技术要求符合现行强制性工程建设规范等规定的技术要求情况。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ascii="Times New Roman" w:hAnsi="Times New Roman" w:eastAsia="宋体" w:cs="Times New Roman"/>
                <w:kern w:val="0"/>
                <w:sz w:val="20"/>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bookmarkStart w:id="0" w:name="_GoBack"/>
            <w:bookmarkEnd w:id="0"/>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 w:val="2809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9</Lines>
  <Paragraphs>14</Paragraphs>
  <TotalTime>0</TotalTime>
  <ScaleCrop>false</ScaleCrop>
  <LinksUpToDate>false</LinksUpToDate>
  <CharactersWithSpaces>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czq</cp:lastModifiedBy>
  <dcterms:modified xsi:type="dcterms:W3CDTF">2026-03-19T10:04:22Z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eyJoZGlkIjoiYzM2YTgzMzQ4ZmFlZTBhNGZjM2IxNWEyZWRiNjNiOGMiLCJ1c2VySWQiOiIxMTQ3NzI5OTkxIn0=</vt:lpwstr>
  </property>
  <property fmtid="{D5CDD505-2E9C-101B-9397-08002B2CF9AE}" pid="3" name="KSOProductBuildVer">
    <vt:lpwstr>2052-12.1.0.24657</vt:lpwstr>
  </property>
  <property fmtid="{D5CDD505-2E9C-101B-9397-08002B2CF9AE}" pid="4" name="ICV">
    <vt:lpwstr>E379450506EC45F0882C00C20EF30D90_12</vt:lpwstr>
  </property>
</Properties>
</file>