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E753C4">
      <w:pPr>
        <w:pStyle w:val="3"/>
        <w:rPr>
          <w:sz w:val="24"/>
          <w:szCs w:val="40"/>
        </w:rPr>
      </w:pPr>
      <w:r>
        <w:rPr>
          <w:rFonts w:hint="eastAsia"/>
          <w:sz w:val="24"/>
          <w:szCs w:val="40"/>
        </w:rPr>
        <w:t>7.2.2合理开发利用地下空间。（</w:t>
      </w:r>
      <w:r>
        <w:rPr>
          <w:sz w:val="24"/>
          <w:szCs w:val="40"/>
        </w:rPr>
        <w:t>12</w:t>
      </w:r>
      <w:r>
        <w:rPr>
          <w:rFonts w:hint="eastAsia"/>
          <w:sz w:val="24"/>
          <w:szCs w:val="40"/>
        </w:rPr>
        <w:t>分）</w:t>
      </w:r>
    </w:p>
    <w:p w14:paraId="1F9430B0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1 得分自评</w:t>
      </w:r>
    </w:p>
    <w:p w14:paraId="6A6B8084">
      <w:pPr>
        <w:spacing w:line="288" w:lineRule="auto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</w:rPr>
        <w:t>1）</w:t>
      </w:r>
      <w:r>
        <w:rPr>
          <w:rFonts w:ascii="Times New Roman" w:hAnsi="Times New Roman" w:cs="Times New Roman"/>
          <w:kern w:val="0"/>
        </w:rPr>
        <w:t>居住建筑</w:t>
      </w:r>
    </w:p>
    <w:tbl>
      <w:tblPr>
        <w:tblStyle w:val="6"/>
        <w:tblW w:w="793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9"/>
        <w:gridCol w:w="2226"/>
        <w:gridCol w:w="1984"/>
        <w:gridCol w:w="1701"/>
        <w:gridCol w:w="1318"/>
      </w:tblGrid>
      <w:tr w14:paraId="5F728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1ED7609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10" w:type="dxa"/>
            <w:gridSpan w:val="2"/>
            <w:vAlign w:val="center"/>
          </w:tcPr>
          <w:p w14:paraId="5BDB91A7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74DC392B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8" w:type="dxa"/>
            <w:vAlign w:val="center"/>
          </w:tcPr>
          <w:p w14:paraId="2E292884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7A37B5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restart"/>
            <w:vAlign w:val="center"/>
          </w:tcPr>
          <w:p w14:paraId="178CD938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226" w:type="dxa"/>
            <w:vMerge w:val="restart"/>
            <w:vAlign w:val="center"/>
          </w:tcPr>
          <w:p w14:paraId="4BFE5262">
            <w:pPr>
              <w:jc w:val="left"/>
              <w:rPr>
                <w:rFonts w:ascii="Times New Roman" w:hAnsi="Times New Roman" w:cs="Times New Roman"/>
              </w:rPr>
            </w:pPr>
            <w:bookmarkStart w:id="0" w:name="_Toc9945028"/>
            <w:bookmarkStart w:id="1" w:name="_Toc9944748"/>
            <w:bookmarkStart w:id="2" w:name="_Toc9945314"/>
            <w:bookmarkStart w:id="3" w:name="_Toc9945455"/>
            <w:bookmarkStart w:id="4" w:name="_Toc9945172"/>
            <w:r>
              <w:rPr>
                <w:rFonts w:ascii="Times New Roman" w:hAnsi="Times New Roman" w:cs="Times New Roman"/>
              </w:rPr>
              <w:t>地下建筑面积与地上建筑面积的比率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</w:t>
            </w:r>
            <w:bookmarkEnd w:id="0"/>
            <w:bookmarkEnd w:id="1"/>
            <w:bookmarkEnd w:id="2"/>
            <w:bookmarkEnd w:id="3"/>
            <w:bookmarkEnd w:id="4"/>
          </w:p>
          <w:p w14:paraId="3E610046">
            <w:pPr>
              <w:jc w:val="left"/>
              <w:rPr>
                <w:rFonts w:ascii="Times New Roman" w:hAnsi="Times New Roman" w:cs="Times New Roman"/>
              </w:rPr>
            </w:pPr>
            <w:bookmarkStart w:id="5" w:name="_Toc9944749"/>
            <w:bookmarkStart w:id="6" w:name="_Toc9945029"/>
            <w:bookmarkStart w:id="7" w:name="_Toc9945173"/>
            <w:bookmarkStart w:id="8" w:name="_Toc9945456"/>
            <w:bookmarkStart w:id="9" w:name="_Toc9945315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5"/>
            <w:bookmarkEnd w:id="6"/>
            <w:bookmarkEnd w:id="7"/>
            <w:bookmarkEnd w:id="8"/>
            <w:bookmarkEnd w:id="9"/>
          </w:p>
        </w:tc>
        <w:tc>
          <w:tcPr>
            <w:tcW w:w="1984" w:type="dxa"/>
            <w:vAlign w:val="center"/>
          </w:tcPr>
          <w:p w14:paraId="3F6F3669">
            <w:pPr>
              <w:jc w:val="center"/>
              <w:rPr>
                <w:rFonts w:ascii="Times New Roman" w:hAnsi="Times New Roman" w:cs="Times New Roman"/>
              </w:rPr>
            </w:pPr>
            <w:bookmarkStart w:id="10" w:name="_Toc9945030"/>
            <w:bookmarkStart w:id="11" w:name="_Toc9945316"/>
            <w:bookmarkStart w:id="12" w:name="_Toc9945174"/>
            <w:bookmarkStart w:id="13" w:name="_Toc9944750"/>
            <w:bookmarkStart w:id="14" w:name="_Toc9945457"/>
            <w:r>
              <w:rPr>
                <w:rFonts w:ascii="Times New Roman" w:hAnsi="Times New Roman" w:cs="Times New Roman"/>
              </w:rPr>
              <w:t>5%≤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r＜20%</w:t>
            </w:r>
            <w:bookmarkEnd w:id="10"/>
            <w:bookmarkEnd w:id="11"/>
            <w:bookmarkEnd w:id="12"/>
            <w:bookmarkEnd w:id="13"/>
            <w:bookmarkEnd w:id="14"/>
          </w:p>
        </w:tc>
        <w:tc>
          <w:tcPr>
            <w:tcW w:w="1701" w:type="dxa"/>
            <w:vAlign w:val="center"/>
          </w:tcPr>
          <w:p w14:paraId="3CA634C9">
            <w:pPr>
              <w:jc w:val="center"/>
              <w:rPr>
                <w:rFonts w:ascii="Times New Roman" w:hAnsi="Times New Roman" w:cs="Times New Roman"/>
              </w:rPr>
            </w:pPr>
            <w:bookmarkStart w:id="15" w:name="_Toc9945175"/>
            <w:bookmarkStart w:id="16" w:name="_Toc9945317"/>
            <w:bookmarkStart w:id="17" w:name="_Toc9945458"/>
            <w:bookmarkStart w:id="18" w:name="_Toc9944751"/>
            <w:bookmarkStart w:id="19" w:name="_Toc9945031"/>
            <w:r>
              <w:rPr>
                <w:rFonts w:ascii="Times New Roman" w:hAnsi="Times New Roman" w:cs="Times New Roman"/>
              </w:rPr>
              <w:t>5</w:t>
            </w:r>
            <w:bookmarkEnd w:id="15"/>
            <w:bookmarkEnd w:id="16"/>
            <w:bookmarkEnd w:id="17"/>
            <w:bookmarkEnd w:id="18"/>
            <w:bookmarkEnd w:id="19"/>
          </w:p>
        </w:tc>
        <w:sdt>
          <w:sdtPr>
            <w:rPr>
              <w:rFonts w:hint="eastAsia"/>
              <w:szCs w:val="21"/>
            </w:rPr>
            <w:id w:val="-658148502"/>
            <w:placeholder>
              <w:docPart w:val="CF783BB2039F48D9B8618A8CB818C34C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077D28F3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467F4B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 w14:paraId="54001464"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 w14:paraId="4C265D69">
            <w:pPr>
              <w:pStyle w:val="14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6797DD0B">
            <w:pPr>
              <w:jc w:val="center"/>
              <w:rPr>
                <w:rFonts w:ascii="Times New Roman" w:hAnsi="Times New Roman" w:cs="Times New Roman"/>
              </w:rPr>
            </w:pPr>
            <w:bookmarkStart w:id="20" w:name="_Toc9945032"/>
            <w:bookmarkStart w:id="21" w:name="_Toc9945176"/>
            <w:bookmarkStart w:id="22" w:name="_Toc9944752"/>
            <w:bookmarkStart w:id="23" w:name="_Toc9945459"/>
            <w:bookmarkStart w:id="24" w:name="_Toc9945318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r≥20%</w:t>
            </w:r>
            <w:bookmarkEnd w:id="20"/>
            <w:bookmarkEnd w:id="21"/>
            <w:bookmarkEnd w:id="22"/>
            <w:bookmarkEnd w:id="23"/>
            <w:bookmarkEnd w:id="24"/>
          </w:p>
        </w:tc>
        <w:tc>
          <w:tcPr>
            <w:tcW w:w="1701" w:type="dxa"/>
            <w:vAlign w:val="center"/>
          </w:tcPr>
          <w:p w14:paraId="125DD785">
            <w:pPr>
              <w:jc w:val="center"/>
              <w:rPr>
                <w:rFonts w:ascii="Times New Roman" w:hAnsi="Times New Roman" w:cs="Times New Roman"/>
              </w:rPr>
            </w:pPr>
            <w:bookmarkStart w:id="25" w:name="_Toc9945319"/>
            <w:bookmarkStart w:id="26" w:name="_Toc9945460"/>
            <w:bookmarkStart w:id="27" w:name="_Toc9945033"/>
            <w:bookmarkStart w:id="28" w:name="_Toc9944753"/>
            <w:bookmarkStart w:id="29" w:name="_Toc9945177"/>
            <w:r>
              <w:rPr>
                <w:rFonts w:ascii="Times New Roman" w:hAnsi="Times New Roman" w:cs="Times New Roman"/>
              </w:rPr>
              <w:t>7</w:t>
            </w:r>
            <w:bookmarkEnd w:id="25"/>
            <w:bookmarkEnd w:id="26"/>
            <w:bookmarkEnd w:id="27"/>
            <w:bookmarkEnd w:id="28"/>
            <w:bookmarkEnd w:id="29"/>
          </w:p>
        </w:tc>
        <w:sdt>
          <w:sdtPr>
            <w:rPr>
              <w:rFonts w:hint="eastAsia"/>
              <w:szCs w:val="21"/>
            </w:rPr>
            <w:id w:val="466940342"/>
            <w:placeholder>
              <w:docPart w:val="50D883D024174DD58FC430FF20A1AEE4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4A646E80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7582518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Merge w:val="continue"/>
            <w:vAlign w:val="center"/>
          </w:tcPr>
          <w:p w14:paraId="679DA72A"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226" w:type="dxa"/>
            <w:vMerge w:val="continue"/>
            <w:vAlign w:val="center"/>
          </w:tcPr>
          <w:p w14:paraId="41E303C6"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984" w:type="dxa"/>
            <w:vAlign w:val="center"/>
          </w:tcPr>
          <w:p w14:paraId="02AA3DEE">
            <w:pPr>
              <w:jc w:val="center"/>
              <w:rPr>
                <w:rFonts w:ascii="Times New Roman" w:hAnsi="Times New Roman" w:cs="Times New Roman"/>
              </w:rPr>
            </w:pPr>
            <w:bookmarkStart w:id="30" w:name="_Toc9944754"/>
            <w:bookmarkStart w:id="31" w:name="_Toc9945461"/>
            <w:bookmarkStart w:id="32" w:name="_Toc9945178"/>
            <w:bookmarkStart w:id="33" w:name="_Toc9945320"/>
            <w:bookmarkStart w:id="34" w:name="_Toc9945034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r≥35%且</w:t>
            </w:r>
          </w:p>
          <w:p w14:paraId="70BD3E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30"/>
            <w:bookmarkEnd w:id="31"/>
            <w:bookmarkEnd w:id="32"/>
            <w:bookmarkEnd w:id="33"/>
            <w:bookmarkEnd w:id="34"/>
          </w:p>
        </w:tc>
        <w:tc>
          <w:tcPr>
            <w:tcW w:w="1701" w:type="dxa"/>
            <w:vAlign w:val="center"/>
          </w:tcPr>
          <w:p w14:paraId="4B0E8671">
            <w:pPr>
              <w:jc w:val="center"/>
              <w:rPr>
                <w:rFonts w:ascii="Times New Roman" w:hAnsi="Times New Roman" w:cs="Times New Roman"/>
              </w:rPr>
            </w:pPr>
            <w:bookmarkStart w:id="35" w:name="_Toc9945035"/>
            <w:bookmarkStart w:id="36" w:name="_Toc9945179"/>
            <w:bookmarkStart w:id="37" w:name="_Toc9945321"/>
            <w:bookmarkStart w:id="38" w:name="_Toc9944755"/>
            <w:bookmarkStart w:id="39" w:name="_Toc9945462"/>
            <w:r>
              <w:rPr>
                <w:rFonts w:ascii="Times New Roman" w:hAnsi="Times New Roman" w:cs="Times New Roman"/>
              </w:rPr>
              <w:t>12</w:t>
            </w:r>
            <w:bookmarkEnd w:id="35"/>
            <w:bookmarkEnd w:id="36"/>
            <w:bookmarkEnd w:id="37"/>
            <w:bookmarkEnd w:id="38"/>
            <w:bookmarkEnd w:id="39"/>
          </w:p>
        </w:tc>
        <w:sdt>
          <w:sdtPr>
            <w:rPr>
              <w:rFonts w:hint="eastAsia"/>
              <w:szCs w:val="21"/>
            </w:rPr>
            <w:id w:val="-1668394132"/>
            <w:placeholder>
              <w:docPart w:val="063A7111716B498F86395D3F6E55977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27424AAD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1414A6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709" w:type="dxa"/>
            <w:vAlign w:val="center"/>
          </w:tcPr>
          <w:p w14:paraId="2151ECB4"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226" w:type="dxa"/>
            <w:vAlign w:val="center"/>
          </w:tcPr>
          <w:p w14:paraId="5AA91039">
            <w:pPr>
              <w:pStyle w:val="14"/>
              <w:spacing w:line="240" w:lineRule="auto"/>
              <w:jc w:val="left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984" w:type="dxa"/>
            <w:vAlign w:val="center"/>
          </w:tcPr>
          <w:p w14:paraId="5173F107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 w14:paraId="6A23271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728655011"/>
            <w:placeholder>
              <w:docPart w:val="2AD274B0C0E249788956CAAA2D661936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66EF14FF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3A4C04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919" w:type="dxa"/>
            <w:gridSpan w:val="3"/>
            <w:vAlign w:val="center"/>
          </w:tcPr>
          <w:p w14:paraId="28884E3C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4FAA7481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kern w:val="0"/>
              <w:szCs w:val="21"/>
            </w:rPr>
            <w:id w:val="1895614665"/>
            <w:placeholder>
              <w:docPart w:val="B46C3744FA3E4A9C8A91B57E71D30B71"/>
            </w:placeholder>
            <w:text/>
          </w:sdtPr>
          <w:sdtEndPr>
            <w:rPr>
              <w:rFonts w:hint="eastAsia"/>
              <w:kern w:val="0"/>
              <w:szCs w:val="21"/>
            </w:rPr>
          </w:sdtEndPr>
          <w:sdtContent>
            <w:tc>
              <w:tcPr>
                <w:tcW w:w="1318" w:type="dxa"/>
                <w:vAlign w:val="center"/>
              </w:tcPr>
              <w:p w14:paraId="1DBF8E18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kern w:val="0"/>
                    <w:szCs w:val="21"/>
                  </w:rPr>
                  <w:t xml:space="preserve">  </w:t>
                </w:r>
              </w:p>
            </w:tc>
          </w:sdtContent>
        </w:sdt>
      </w:tr>
    </w:tbl>
    <w:p w14:paraId="7C906972">
      <w:pPr>
        <w:spacing w:line="288" w:lineRule="auto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2）公共建筑</w:t>
      </w:r>
    </w:p>
    <w:tbl>
      <w:tblPr>
        <w:tblStyle w:val="6"/>
        <w:tblW w:w="793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2"/>
        <w:gridCol w:w="2669"/>
        <w:gridCol w:w="1567"/>
        <w:gridCol w:w="1701"/>
        <w:gridCol w:w="1316"/>
      </w:tblGrid>
      <w:tr w14:paraId="69736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jc w:val="center"/>
        </w:trPr>
        <w:tc>
          <w:tcPr>
            <w:tcW w:w="682" w:type="dxa"/>
            <w:vAlign w:val="center"/>
          </w:tcPr>
          <w:p w14:paraId="615863D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序号</w:t>
            </w:r>
          </w:p>
        </w:tc>
        <w:tc>
          <w:tcPr>
            <w:tcW w:w="4236" w:type="dxa"/>
            <w:gridSpan w:val="2"/>
            <w:vAlign w:val="center"/>
          </w:tcPr>
          <w:p w14:paraId="487B3CB9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评价内容</w:t>
            </w:r>
          </w:p>
        </w:tc>
        <w:tc>
          <w:tcPr>
            <w:tcW w:w="1701" w:type="dxa"/>
            <w:vAlign w:val="center"/>
          </w:tcPr>
          <w:p w14:paraId="1FA4128A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评价分值</w:t>
            </w:r>
          </w:p>
        </w:tc>
        <w:tc>
          <w:tcPr>
            <w:tcW w:w="1316" w:type="dxa"/>
            <w:vAlign w:val="center"/>
          </w:tcPr>
          <w:p w14:paraId="7D7DA6CD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eastAsia="宋体" w:cs="Times New Roman"/>
                <w:szCs w:val="21"/>
              </w:rPr>
              <w:t>自评得分</w:t>
            </w:r>
          </w:p>
        </w:tc>
      </w:tr>
      <w:tr w14:paraId="1B5E376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82" w:type="dxa"/>
            <w:vMerge w:val="restart"/>
            <w:vAlign w:val="center"/>
          </w:tcPr>
          <w:p w14:paraId="4362E330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669" w:type="dxa"/>
            <w:vMerge w:val="restart"/>
            <w:vAlign w:val="center"/>
          </w:tcPr>
          <w:p w14:paraId="7C89B4F7">
            <w:pPr>
              <w:jc w:val="left"/>
              <w:rPr>
                <w:rFonts w:ascii="Times New Roman" w:hAnsi="Times New Roman" w:cs="Times New Roman"/>
              </w:rPr>
            </w:pPr>
            <w:bookmarkStart w:id="40" w:name="_Toc9944757"/>
            <w:bookmarkStart w:id="41" w:name="_Toc9945323"/>
            <w:bookmarkStart w:id="42" w:name="_Toc9945464"/>
            <w:bookmarkStart w:id="43" w:name="_Toc9945037"/>
            <w:bookmarkStart w:id="44" w:name="_Toc9945181"/>
            <w:r>
              <w:rPr>
                <w:rFonts w:ascii="Times New Roman" w:hAnsi="Times New Roman" w:cs="Times New Roman"/>
              </w:rPr>
              <w:t>地下建筑面积与总用地面积之比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bookmarkEnd w:id="40"/>
            <w:bookmarkEnd w:id="41"/>
            <w:bookmarkEnd w:id="42"/>
            <w:bookmarkEnd w:id="43"/>
            <w:bookmarkEnd w:id="44"/>
          </w:p>
          <w:p w14:paraId="27F9217A">
            <w:pPr>
              <w:jc w:val="left"/>
              <w:rPr>
                <w:rFonts w:ascii="Times New Roman" w:hAnsi="Times New Roman" w:cs="Times New Roman"/>
              </w:rPr>
            </w:pPr>
            <w:bookmarkStart w:id="45" w:name="_Toc9945182"/>
            <w:bookmarkStart w:id="46" w:name="_Toc9945465"/>
            <w:bookmarkStart w:id="47" w:name="_Toc9944758"/>
            <w:bookmarkStart w:id="48" w:name="_Toc9945038"/>
            <w:bookmarkStart w:id="49" w:name="_Toc9945324"/>
            <w:r>
              <w:rPr>
                <w:rFonts w:ascii="Times New Roman" w:hAnsi="Times New Roman" w:cs="Times New Roman"/>
              </w:rPr>
              <w:t>地下一层建筑面积与总用地面积的比率</w:t>
            </w: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bookmarkEnd w:id="45"/>
            <w:bookmarkEnd w:id="46"/>
            <w:bookmarkEnd w:id="47"/>
            <w:bookmarkEnd w:id="48"/>
            <w:bookmarkEnd w:id="49"/>
          </w:p>
        </w:tc>
        <w:tc>
          <w:tcPr>
            <w:tcW w:w="1567" w:type="dxa"/>
            <w:vAlign w:val="center"/>
          </w:tcPr>
          <w:p w14:paraId="74E3F288">
            <w:pPr>
              <w:jc w:val="center"/>
              <w:rPr>
                <w:rFonts w:ascii="Times New Roman" w:hAnsi="Times New Roman" w:cs="Times New Roman"/>
              </w:rPr>
            </w:pPr>
            <w:bookmarkStart w:id="50" w:name="_Toc9945466"/>
            <w:bookmarkStart w:id="51" w:name="_Toc9945039"/>
            <w:bookmarkStart w:id="52" w:name="_Toc9945183"/>
            <w:bookmarkStart w:id="53" w:name="_Toc9944759"/>
            <w:bookmarkStart w:id="54" w:name="_Toc9945325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≥0.5</w:t>
            </w:r>
            <w:bookmarkEnd w:id="50"/>
            <w:bookmarkEnd w:id="51"/>
            <w:bookmarkEnd w:id="52"/>
            <w:bookmarkEnd w:id="53"/>
            <w:bookmarkEnd w:id="54"/>
          </w:p>
        </w:tc>
        <w:tc>
          <w:tcPr>
            <w:tcW w:w="1701" w:type="dxa"/>
            <w:vAlign w:val="center"/>
          </w:tcPr>
          <w:p w14:paraId="607F2AD3">
            <w:pPr>
              <w:jc w:val="center"/>
              <w:rPr>
                <w:rFonts w:ascii="Times New Roman" w:hAnsi="Times New Roman" w:cs="Times New Roman"/>
              </w:rPr>
            </w:pPr>
            <w:bookmarkStart w:id="55" w:name="_Toc9945326"/>
            <w:bookmarkStart w:id="56" w:name="_Toc9945040"/>
            <w:bookmarkStart w:id="57" w:name="_Toc9945467"/>
            <w:bookmarkStart w:id="58" w:name="_Toc9945184"/>
            <w:bookmarkStart w:id="59" w:name="_Toc9944760"/>
            <w:r>
              <w:rPr>
                <w:rFonts w:ascii="Times New Roman" w:hAnsi="Times New Roman" w:cs="Times New Roman"/>
              </w:rPr>
              <w:t>5</w:t>
            </w:r>
            <w:bookmarkEnd w:id="55"/>
            <w:bookmarkEnd w:id="56"/>
            <w:bookmarkEnd w:id="57"/>
            <w:bookmarkEnd w:id="58"/>
            <w:bookmarkEnd w:id="59"/>
          </w:p>
        </w:tc>
        <w:sdt>
          <w:sdtPr>
            <w:rPr>
              <w:rFonts w:hint="eastAsia"/>
              <w:szCs w:val="21"/>
            </w:rPr>
            <w:id w:val="1889684546"/>
            <w:placeholder>
              <w:docPart w:val="10972201248F448A838DE0F5980517A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 w14:paraId="74094BF8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43307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 w14:paraId="0F61B94B"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 w14:paraId="1269FA55"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3AFF29AC">
            <w:pPr>
              <w:jc w:val="center"/>
              <w:rPr>
                <w:rFonts w:ascii="Times New Roman" w:hAnsi="Times New Roman" w:cs="Times New Roman"/>
              </w:rPr>
            </w:pPr>
            <w:bookmarkStart w:id="60" w:name="_Toc9944761"/>
            <w:bookmarkStart w:id="61" w:name="_Toc9945041"/>
            <w:bookmarkStart w:id="62" w:name="_Toc9945185"/>
            <w:bookmarkStart w:id="63" w:name="_Toc9945327"/>
            <w:bookmarkStart w:id="64" w:name="_Toc9945468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≥0.7且</w:t>
            </w:r>
          </w:p>
          <w:p w14:paraId="27A8586A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p＜70%</w:t>
            </w:r>
            <w:bookmarkEnd w:id="60"/>
            <w:bookmarkEnd w:id="61"/>
            <w:bookmarkEnd w:id="62"/>
            <w:bookmarkEnd w:id="63"/>
            <w:bookmarkEnd w:id="64"/>
          </w:p>
        </w:tc>
        <w:tc>
          <w:tcPr>
            <w:tcW w:w="1701" w:type="dxa"/>
            <w:vAlign w:val="center"/>
          </w:tcPr>
          <w:p w14:paraId="6CDD9D36">
            <w:pPr>
              <w:jc w:val="center"/>
              <w:rPr>
                <w:rFonts w:ascii="Times New Roman" w:hAnsi="Times New Roman" w:cs="Times New Roman"/>
              </w:rPr>
            </w:pPr>
            <w:bookmarkStart w:id="65" w:name="_Toc9944762"/>
            <w:bookmarkStart w:id="66" w:name="_Toc9945186"/>
            <w:bookmarkStart w:id="67" w:name="_Toc9945469"/>
            <w:bookmarkStart w:id="68" w:name="_Toc9945042"/>
            <w:bookmarkStart w:id="69" w:name="_Toc9945328"/>
            <w:r>
              <w:rPr>
                <w:rFonts w:ascii="Times New Roman" w:hAnsi="Times New Roman" w:cs="Times New Roman"/>
              </w:rPr>
              <w:t>7</w:t>
            </w:r>
            <w:bookmarkEnd w:id="65"/>
            <w:bookmarkEnd w:id="66"/>
            <w:bookmarkEnd w:id="67"/>
            <w:bookmarkEnd w:id="68"/>
            <w:bookmarkEnd w:id="69"/>
          </w:p>
        </w:tc>
        <w:sdt>
          <w:sdtPr>
            <w:rPr>
              <w:rFonts w:hint="eastAsia"/>
              <w:szCs w:val="21"/>
            </w:rPr>
            <w:id w:val="-202401794"/>
            <w:placeholder>
              <w:docPart w:val="C76EE606EFC44110802EEC9C7BCF7980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 w14:paraId="18770C3F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4F1FBA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Merge w:val="continue"/>
            <w:vAlign w:val="center"/>
          </w:tcPr>
          <w:p w14:paraId="097BE2B1">
            <w:pPr>
              <w:pStyle w:val="14"/>
              <w:spacing w:line="240" w:lineRule="auto"/>
              <w:jc w:val="center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2669" w:type="dxa"/>
            <w:vMerge w:val="continue"/>
            <w:vAlign w:val="center"/>
          </w:tcPr>
          <w:p w14:paraId="2ABAFABB"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</w:p>
        </w:tc>
        <w:tc>
          <w:tcPr>
            <w:tcW w:w="1567" w:type="dxa"/>
            <w:vAlign w:val="center"/>
          </w:tcPr>
          <w:p w14:paraId="3B246147">
            <w:pPr>
              <w:jc w:val="center"/>
              <w:rPr>
                <w:rFonts w:ascii="Times New Roman" w:hAnsi="Times New Roman" w:cs="Times New Roman"/>
              </w:rPr>
            </w:pPr>
            <w:bookmarkStart w:id="70" w:name="_Toc9944763"/>
            <w:bookmarkStart w:id="71" w:name="_Toc9945043"/>
            <w:bookmarkStart w:id="72" w:name="_Toc9945187"/>
            <w:bookmarkStart w:id="73" w:name="_Toc9945329"/>
            <w:bookmarkStart w:id="74" w:name="_Toc9945470"/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</w:t>
            </w:r>
            <w:r>
              <w:rPr>
                <w:rFonts w:ascii="Times New Roman" w:hAnsi="Times New Roman" w:cs="Times New Roman"/>
                <w:vertAlign w:val="subscript"/>
              </w:rPr>
              <w:t>1</w:t>
            </w:r>
            <w:r>
              <w:rPr>
                <w:rFonts w:ascii="Times New Roman" w:hAnsi="Times New Roman" w:cs="Times New Roman"/>
              </w:rPr>
              <w:t>≥1.0且</w:t>
            </w:r>
          </w:p>
          <w:p w14:paraId="414770E2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R</w:t>
            </w:r>
            <w:r>
              <w:rPr>
                <w:rFonts w:ascii="Times New Roman" w:hAnsi="Times New Roman" w:cs="Times New Roman"/>
              </w:rPr>
              <w:t>p＜60%</w:t>
            </w:r>
            <w:bookmarkEnd w:id="70"/>
            <w:bookmarkEnd w:id="71"/>
            <w:bookmarkEnd w:id="72"/>
            <w:bookmarkEnd w:id="73"/>
            <w:bookmarkEnd w:id="74"/>
          </w:p>
        </w:tc>
        <w:tc>
          <w:tcPr>
            <w:tcW w:w="1701" w:type="dxa"/>
            <w:vAlign w:val="center"/>
          </w:tcPr>
          <w:p w14:paraId="4C1808F6">
            <w:pPr>
              <w:jc w:val="center"/>
              <w:rPr>
                <w:rFonts w:ascii="Times New Roman" w:hAnsi="Times New Roman" w:cs="Times New Roman"/>
              </w:rPr>
            </w:pPr>
            <w:bookmarkStart w:id="75" w:name="_Toc9945188"/>
            <w:bookmarkStart w:id="76" w:name="_Toc9945471"/>
            <w:bookmarkStart w:id="77" w:name="_Toc9945330"/>
            <w:bookmarkStart w:id="78" w:name="_Toc9944764"/>
            <w:bookmarkStart w:id="79" w:name="_Toc9945044"/>
            <w:r>
              <w:rPr>
                <w:rFonts w:ascii="Times New Roman" w:hAnsi="Times New Roman" w:cs="Times New Roman"/>
              </w:rPr>
              <w:t>12</w:t>
            </w:r>
            <w:bookmarkEnd w:id="75"/>
            <w:bookmarkEnd w:id="76"/>
            <w:bookmarkEnd w:id="77"/>
            <w:bookmarkEnd w:id="78"/>
            <w:bookmarkEnd w:id="79"/>
          </w:p>
        </w:tc>
        <w:sdt>
          <w:sdtPr>
            <w:rPr>
              <w:rFonts w:hint="eastAsia"/>
              <w:szCs w:val="21"/>
            </w:rPr>
            <w:id w:val="2102994287"/>
            <w:placeholder>
              <w:docPart w:val="4CA5387612B54E3083B1C0CB0A91E2C9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 w14:paraId="167475DA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2BB584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682" w:type="dxa"/>
            <w:vAlign w:val="center"/>
          </w:tcPr>
          <w:p w14:paraId="6F8FEE4A">
            <w:pPr>
              <w:pStyle w:val="14"/>
              <w:spacing w:line="240" w:lineRule="auto"/>
              <w:jc w:val="center"/>
              <w:outlineLvl w:val="9"/>
              <w:rPr>
                <w:bCs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2</w:t>
            </w:r>
          </w:p>
        </w:tc>
        <w:tc>
          <w:tcPr>
            <w:tcW w:w="2669" w:type="dxa"/>
            <w:vAlign w:val="center"/>
          </w:tcPr>
          <w:p w14:paraId="52DF0466">
            <w:pPr>
              <w:pStyle w:val="14"/>
              <w:spacing w:line="240" w:lineRule="auto"/>
              <w:jc w:val="left"/>
              <w:outlineLvl w:val="9"/>
              <w:rPr>
                <w:bCs/>
                <w:i/>
                <w:sz w:val="21"/>
                <w:szCs w:val="21"/>
              </w:rPr>
            </w:pPr>
            <w:r>
              <w:rPr>
                <w:bCs/>
                <w:sz w:val="21"/>
                <w:szCs w:val="21"/>
              </w:rPr>
              <w:t>不适宜开发地下空间</w:t>
            </w:r>
          </w:p>
        </w:tc>
        <w:tc>
          <w:tcPr>
            <w:tcW w:w="1567" w:type="dxa"/>
            <w:vAlign w:val="center"/>
          </w:tcPr>
          <w:p w14:paraId="1384E34B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i/>
              </w:rPr>
              <w:t>---</w:t>
            </w:r>
          </w:p>
        </w:tc>
        <w:tc>
          <w:tcPr>
            <w:tcW w:w="1701" w:type="dxa"/>
            <w:vAlign w:val="center"/>
          </w:tcPr>
          <w:p w14:paraId="7D51E7C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467238224"/>
            <w:placeholder>
              <w:docPart w:val="B44C61D1D07C45F9A8F5F02249A18D1E"/>
            </w:placeholder>
            <w:text/>
          </w:sdtPr>
          <w:sdtEndPr>
            <w:rPr>
              <w:rFonts w:hint="eastAsia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 w14:paraId="35609A40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  <w:lang w:val="en-US" w:eastAsia="zh-CN"/>
                  </w:rPr>
                  <w:t>12</w:t>
                </w:r>
                <w:r>
                  <w:rPr>
                    <w:rFonts w:hint="eastAsia"/>
                    <w:szCs w:val="21"/>
                  </w:rPr>
                  <w:t xml:space="preserve">  </w:t>
                </w:r>
              </w:p>
            </w:tc>
          </w:sdtContent>
        </w:sdt>
      </w:tr>
      <w:tr w14:paraId="258D52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  <w:jc w:val="center"/>
        </w:trPr>
        <w:tc>
          <w:tcPr>
            <w:tcW w:w="4918" w:type="dxa"/>
            <w:gridSpan w:val="3"/>
            <w:vAlign w:val="center"/>
          </w:tcPr>
          <w:p w14:paraId="2865AB56">
            <w:pPr>
              <w:jc w:val="center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合计</w:t>
            </w:r>
          </w:p>
        </w:tc>
        <w:tc>
          <w:tcPr>
            <w:tcW w:w="1701" w:type="dxa"/>
            <w:vAlign w:val="center"/>
          </w:tcPr>
          <w:p w14:paraId="13B15A1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hint="eastAsia" w:ascii="Times New Roman" w:hAnsi="Times New Roman" w:cs="Times New Roman"/>
              </w:rPr>
              <w:t>12</w:t>
            </w:r>
          </w:p>
        </w:tc>
        <w:sdt>
          <w:sdtPr>
            <w:rPr>
              <w:rFonts w:hint="eastAsia"/>
              <w:szCs w:val="21"/>
            </w:rPr>
            <w:id w:val="1208448949"/>
            <w:placeholder>
              <w:docPart w:val="87B11C948CB047509754D2E98D64E8D1"/>
            </w:placeholder>
            <w:text/>
          </w:sdtPr>
          <w:sdtEndPr>
            <w:rPr>
              <w:rFonts w:hint="default"/>
              <w:szCs w:val="21"/>
            </w:rPr>
          </w:sdtEndPr>
          <w:sdtContent>
            <w:tc>
              <w:tcPr>
                <w:tcW w:w="1316" w:type="dxa"/>
                <w:vAlign w:val="center"/>
              </w:tcPr>
              <w:p w14:paraId="3FA982D6">
                <w:pPr>
                  <w:pStyle w:val="14"/>
                  <w:spacing w:line="240" w:lineRule="auto"/>
                  <w:jc w:val="center"/>
                  <w:outlineLvl w:val="9"/>
                  <w:rPr>
                    <w:bCs/>
                    <w:sz w:val="21"/>
                    <w:szCs w:val="21"/>
                  </w:rPr>
                </w:pPr>
                <w:r>
                  <w:rPr>
                    <w:rFonts w:hint="eastAsia"/>
                    <w:szCs w:val="21"/>
                  </w:rPr>
                  <w:t xml:space="preserve">  </w:t>
                </w:r>
                <w:r>
                  <w:rPr>
                    <w:rFonts w:hint="eastAsia"/>
                    <w:szCs w:val="21"/>
                    <w:lang w:val="en-US" w:eastAsia="zh-CN"/>
                  </w:rPr>
                  <w:t>12</w:t>
                </w:r>
              </w:p>
            </w:tc>
          </w:sdtContent>
        </w:sdt>
      </w:tr>
    </w:tbl>
    <w:p w14:paraId="35A0AD3C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2 评价要点</w:t>
      </w:r>
    </w:p>
    <w:p w14:paraId="551A5A98">
      <w:pPr>
        <w:rPr>
          <w:rFonts w:ascii="Times New Roman" w:hAnsi="Times New Roman" w:cs="Times New Roman" w:eastAsiaTheme="majorEastAsia"/>
          <w:u w:val="single"/>
        </w:rPr>
      </w:pPr>
      <w:r>
        <w:rPr>
          <w:rFonts w:ascii="Times New Roman" w:hAnsi="Times New Roman" w:cs="Times New Roman" w:eastAsiaTheme="majorEastAsia"/>
        </w:rPr>
        <w:t>地下空间主要功能为：</w:t>
      </w:r>
      <w:r>
        <w:rPr>
          <w:rFonts w:ascii="Times New Roman" w:hAnsi="Times New Roman" w:cs="Times New Roman" w:eastAsiaTheme="majorEastAsia"/>
          <w:u w:val="single"/>
        </w:rPr>
        <w:t xml:space="preserve">         </w:t>
      </w:r>
    </w:p>
    <w:p w14:paraId="030C74AE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地上建筑面积：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71164082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，地下建筑面积：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1550222663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 w14:paraId="186A8732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851946795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  <w:r>
        <w:rPr>
          <w:rFonts w:ascii="Times New Roman" w:hAnsi="Times New Roman" w:cs="Times New Roman" w:eastAsiaTheme="majorEastAsia"/>
        </w:rPr>
        <w:t>，总用地面积：</w:t>
      </w:r>
      <w:r>
        <w:rPr>
          <w:rFonts w:ascii="Times New Roman" w:hAnsi="Times New Roman" w:cs="Times New Roman" w:eastAsiaTheme="majorEastAsia"/>
          <w:u w:val="single"/>
        </w:rPr>
        <w:t xml:space="preserve"> </w:t>
      </w:r>
      <w:sdt>
        <w:sdtPr>
          <w:rPr>
            <w:rFonts w:ascii="Times New Roman" w:hAnsi="Times New Roman" w:cs="Times New Roman" w:eastAsiaTheme="majorEastAsia"/>
            <w:u w:val="single"/>
          </w:rPr>
          <w:id w:val="-318956709"/>
          <w:placeholder>
            <w:docPart w:val="71E19C2C37D04883B26821C823805995"/>
          </w:placeholder>
          <w:text/>
        </w:sdtPr>
        <w:sdtEndPr>
          <w:rPr>
            <w:rFonts w:ascii="Times New Roman" w:hAnsi="Times New Roman" w:cs="Times New Roman" w:eastAsiaTheme="majorEastAsia"/>
            <w:u w:val="single"/>
          </w:rPr>
        </w:sdtEndPr>
        <w:sdtContent>
          <w:r>
            <w:rPr>
              <w:rFonts w:hint="eastAsia" w:ascii="Times New Roman" w:hAnsi="Times New Roman" w:cs="Times New Roman" w:eastAsiaTheme="majorEastAsia"/>
              <w:u w:val="single"/>
            </w:rPr>
            <w:t xml:space="preserve">                  </w:t>
          </w:r>
        </w:sdtContent>
      </w:sdt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ascii="Times New Roman" w:hAnsi="Times New Roman" w:cs="Times New Roman" w:eastAsiaTheme="majorEastAsia"/>
        </w:rPr>
        <w:t xml:space="preserve"> m</w:t>
      </w:r>
      <w:r>
        <w:rPr>
          <w:rFonts w:ascii="Times New Roman" w:hAnsi="Times New Roman" w:cs="Times New Roman" w:eastAsiaTheme="majorEastAsia"/>
          <w:vertAlign w:val="superscript"/>
        </w:rPr>
        <w:t>2</w:t>
      </w:r>
    </w:p>
    <w:p w14:paraId="22AFD423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地下建筑面积与地上建筑面积的比率</w:t>
      </w:r>
      <w:r>
        <w:rPr>
          <w:rFonts w:ascii="Times New Roman" w:hAnsi="Times New Roman" w:cs="Times New Roman" w:eastAsiaTheme="majorEastAsia"/>
          <w:i/>
        </w:rPr>
        <w:t>Rr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ascii="Times New Roman" w:hAnsi="Times New Roman" w:cs="Times New Roman" w:eastAsiaTheme="majorEastAsia"/>
        </w:rPr>
        <w:t>%</w:t>
      </w:r>
    </w:p>
    <w:p w14:paraId="16DA3B60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地下建筑面积与总用地面积的比率</w:t>
      </w:r>
      <w:r>
        <w:rPr>
          <w:rFonts w:ascii="Times New Roman" w:hAnsi="Times New Roman" w:cs="Times New Roman" w:eastAsiaTheme="majorEastAsia"/>
          <w:i/>
        </w:rPr>
        <w:t>Rp1</w:t>
      </w:r>
      <w:r>
        <w:rPr>
          <w:rFonts w:ascii="Times New Roman" w:hAnsi="Times New Roman" w:cs="Times New Roman" w:eastAsiaTheme="majorEastAsia"/>
        </w:rPr>
        <w:t>为：</w:t>
      </w:r>
      <w:r>
        <w:rPr>
          <w:rStyle w:val="15"/>
          <w:rFonts w:hint="eastAsia"/>
        </w:rPr>
        <w:t xml:space="preserve"> </w:t>
      </w:r>
      <w:r>
        <w:rPr>
          <w:rFonts w:ascii="Times New Roman" w:hAnsi="Times New Roman" w:cs="Times New Roman" w:eastAsiaTheme="majorEastAsia"/>
          <w:u w:val="single"/>
        </w:rPr>
        <w:t xml:space="preserve">     </w:t>
      </w:r>
      <w:r>
        <w:rPr>
          <w:rFonts w:ascii="Times New Roman" w:hAnsi="Times New Roman" w:cs="Times New Roman" w:eastAsiaTheme="majorEastAsia"/>
        </w:rPr>
        <w:t>%</w:t>
      </w:r>
    </w:p>
    <w:p w14:paraId="628F38CA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地下一层建筑面积与总用地面积的比率</w:t>
      </w:r>
      <w:r>
        <w:rPr>
          <w:rFonts w:ascii="Times New Roman" w:hAnsi="Times New Roman" w:cs="Times New Roman" w:eastAsiaTheme="majorEastAsia"/>
          <w:i/>
        </w:rPr>
        <w:t>Rp</w:t>
      </w:r>
      <w:r>
        <w:rPr>
          <w:rFonts w:ascii="Times New Roman" w:hAnsi="Times New Roman" w:cs="Times New Roman" w:eastAsiaTheme="majorEastAsia"/>
        </w:rPr>
        <w:t>为：</w:t>
      </w:r>
      <w:r>
        <w:rPr>
          <w:rFonts w:ascii="Times New Roman" w:hAnsi="Times New Roman" w:cs="Times New Roman" w:eastAsiaTheme="majorEastAsia"/>
          <w:u w:val="single"/>
        </w:rPr>
        <w:t xml:space="preserve">   </w:t>
      </w:r>
      <w:r>
        <w:rPr>
          <w:rFonts w:ascii="Times New Roman" w:hAnsi="Times New Roman" w:cs="Times New Roman" w:eastAsiaTheme="majorEastAsia"/>
        </w:rPr>
        <w:t xml:space="preserve">%  </w:t>
      </w:r>
    </w:p>
    <w:p w14:paraId="4C30D53B">
      <w:pPr>
        <w:rPr>
          <w:rFonts w:ascii="Times New Roman" w:hAnsi="Times New Roman" w:cs="Times New Roman" w:eastAsiaTheme="majorEastAsia"/>
          <w:szCs w:val="21"/>
        </w:rPr>
      </w:pPr>
      <w:r>
        <w:rPr>
          <w:rFonts w:ascii="Times New Roman" w:hAnsi="Times New Roman" w:cs="Times New Roman" w:eastAsiaTheme="majorEastAsia"/>
        </w:rPr>
        <w:t>请简要说明地下空间开发利用情况。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2"/>
      </w:tblGrid>
      <w:tr w14:paraId="117D6E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8272" w:type="dxa"/>
          </w:tcPr>
          <w:p w14:paraId="1CF20A9D">
            <w:pPr>
              <w:ind w:firstLine="400" w:firstLineChars="200"/>
              <w:rPr>
                <w:rFonts w:hint="default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kern w:val="0"/>
                <w:sz w:val="20"/>
                <w:szCs w:val="21"/>
                <w:lang w:val="en-US" w:eastAsia="zh-CN"/>
              </w:rPr>
              <w:t>不适宜开发地下</w:t>
            </w:r>
          </w:p>
        </w:tc>
      </w:tr>
    </w:tbl>
    <w:p w14:paraId="1338B89D">
      <w:pPr>
        <w:spacing w:before="156" w:beforeLines="50" w:after="156" w:afterLines="50"/>
        <w:rPr>
          <w:rFonts w:ascii="Times New Roman" w:hAnsi="Times New Roman" w:eastAsia="宋体" w:cs="Times New Roman"/>
          <w:b/>
          <w:szCs w:val="21"/>
        </w:rPr>
      </w:pPr>
      <w:r>
        <w:rPr>
          <w:rFonts w:ascii="Times New Roman" w:hAnsi="Times New Roman" w:eastAsia="宋体" w:cs="Times New Roman"/>
          <w:b/>
          <w:szCs w:val="21"/>
        </w:rPr>
        <w:t>3 证明材料</w:t>
      </w:r>
      <w:bookmarkStart w:id="80" w:name="_GoBack"/>
      <w:bookmarkEnd w:id="80"/>
    </w:p>
    <w:p w14:paraId="6F91CEC8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提交材料及要求：</w:t>
      </w:r>
    </w:p>
    <w:p w14:paraId="30BF54C0">
      <w:pPr>
        <w:rPr>
          <w:rFonts w:ascii="Times New Roman" w:hAnsi="Times New Roman" w:cs="Times New Roman" w:eastAsiaTheme="majorEastAsia"/>
        </w:rPr>
      </w:pPr>
      <w:r>
        <w:rPr>
          <w:rFonts w:ascii="Times New Roman" w:hAnsi="Times New Roman" w:cs="Times New Roman" w:eastAsiaTheme="majorEastAsia"/>
        </w:rPr>
        <w:t>1</w:t>
      </w:r>
      <w:r>
        <w:rPr>
          <w:rFonts w:hint="eastAsia" w:ascii="Times New Roman" w:hAnsi="Times New Roman" w:cs="Times New Roman" w:eastAsiaTheme="majorEastAsia"/>
        </w:rPr>
        <w:t>）建筑竣工图及设计说明；</w:t>
      </w:r>
    </w:p>
    <w:p w14:paraId="2E1F57A1">
      <w:pPr>
        <w:rPr>
          <w:rFonts w:ascii="Times New Roman" w:hAnsi="Times New Roman" w:cs="Times New Roman" w:eastAsiaTheme="majorEastAsia"/>
        </w:rPr>
      </w:pPr>
      <w:r>
        <w:rPr>
          <w:rFonts w:hint="eastAsia" w:ascii="Times New Roman" w:hAnsi="Times New Roman" w:cs="Times New Roman" w:eastAsiaTheme="majorEastAsia"/>
        </w:rPr>
        <w:t>2）地下空间利用计算书；</w:t>
      </w:r>
    </w:p>
    <w:p w14:paraId="330F728D">
      <w:r>
        <w:rPr>
          <w:rFonts w:hint="eastAsia" w:ascii="Times New Roman" w:hAnsi="Times New Roman" w:cs="Times New Roman" w:eastAsiaTheme="majorEastAsia"/>
        </w:rPr>
        <w:t>3）不适宜开发利用地下空间的论证报告。</w:t>
      </w:r>
    </w:p>
    <w:p w14:paraId="11929425">
      <w:pPr>
        <w:rPr>
          <w:rFonts w:ascii="Times New Roman" w:hAnsi="Times New Roman" w:eastAsia="宋体" w:cs="Times New Roman"/>
          <w:szCs w:val="21"/>
        </w:rPr>
      </w:pPr>
      <w:r>
        <w:rPr>
          <w:rFonts w:ascii="Times New Roman" w:hAnsi="Times New Roman" w:eastAsia="宋体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 w14:paraId="69E019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 w14:paraId="0BB9B95C">
            <w:pPr>
              <w:rPr>
                <w:rFonts w:ascii="Times New Roman" w:hAnsi="Times New Roman" w:eastAsia="宋体" w:cs="Times New Roman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ajorEastAsia"/>
              </w:rPr>
              <w:t>不适宜开发利用地下空间的论证报告</w:t>
            </w:r>
          </w:p>
        </w:tc>
      </w:tr>
    </w:tbl>
    <w:p w14:paraId="6F896C9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067"/>
    <w:rsid w:val="00074A38"/>
    <w:rsid w:val="0020077A"/>
    <w:rsid w:val="002815E2"/>
    <w:rsid w:val="003922B2"/>
    <w:rsid w:val="00550067"/>
    <w:rsid w:val="00685754"/>
    <w:rsid w:val="006950BC"/>
    <w:rsid w:val="006F46AE"/>
    <w:rsid w:val="007B6B13"/>
    <w:rsid w:val="00870BB8"/>
    <w:rsid w:val="00BB79AF"/>
    <w:rsid w:val="00F72CB2"/>
    <w:rsid w:val="6280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Char"/>
    <w:basedOn w:val="8"/>
    <w:link w:val="5"/>
    <w:uiPriority w:val="99"/>
    <w:rPr>
      <w:sz w:val="18"/>
      <w:szCs w:val="18"/>
    </w:rPr>
  </w:style>
  <w:style w:type="character" w:customStyle="1" w:styleId="10">
    <w:name w:val="页脚 Char"/>
    <w:basedOn w:val="8"/>
    <w:link w:val="4"/>
    <w:uiPriority w:val="99"/>
    <w:rPr>
      <w:sz w:val="18"/>
      <w:szCs w:val="18"/>
    </w:rPr>
  </w:style>
  <w:style w:type="character" w:customStyle="1" w:styleId="11">
    <w:name w:val="标题 4 Char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qFormat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样式1"/>
    <w:basedOn w:val="8"/>
    <w:qFormat/>
    <w:uiPriority w:val="1"/>
    <w:rPr>
      <w:rFonts w:eastAsiaTheme="minorEastAsia"/>
      <w:sz w:val="21"/>
    </w:rPr>
  </w:style>
  <w:style w:type="character" w:customStyle="1" w:styleId="16">
    <w:name w:val="标题 3 Char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CF783BB2039F48D9B8618A8CB818C34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2D49174-5AF9-4598-88BC-946F6BF6B823}"/>
      </w:docPartPr>
      <w:docPartBody>
        <w:p w14:paraId="67F1A773"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D883D024174DD58FC430FF20A1AEE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45675C-5BBD-4D92-B3CB-64978D019E7C}"/>
      </w:docPartPr>
      <w:docPartBody>
        <w:p w14:paraId="73118716"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063A7111716B498F86395D3F6E55977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FE48BE0-E66D-4EA6-8A64-2C46BDFB5E70}"/>
      </w:docPartPr>
      <w:docPartBody>
        <w:p w14:paraId="0F1A46F1"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AD274B0C0E249788956CAAA2D66193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01B362-E0DB-410C-B826-4E27D9BBB6CA}"/>
      </w:docPartPr>
      <w:docPartBody>
        <w:p w14:paraId="6E01DBFB"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6C3744FA3E4A9C8A91B57E71D30B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001A220-0060-45C8-87F1-513F9FB943BB}"/>
      </w:docPartPr>
      <w:docPartBody>
        <w:p w14:paraId="15244C6D"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972201248F448A838DE0F5980517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10ED11C-5BC3-45E8-A1E0-36581B1E1FF1}"/>
      </w:docPartPr>
      <w:docPartBody>
        <w:p w14:paraId="664BE5CA"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76EE606EFC44110802EEC9C7BCF798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9469C4D-3A78-4C37-8738-B8AB00EFB434}"/>
      </w:docPartPr>
      <w:docPartBody>
        <w:p w14:paraId="26E76796"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CA5387612B54E3083B1C0CB0A91E2C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936C9E3-AAB4-4851-9B3A-F42FDCA9A7FD}"/>
      </w:docPartPr>
      <w:docPartBody>
        <w:p w14:paraId="6D081769"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44C61D1D07C45F9A8F5F02249A18D1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F85820E-B93A-4CE1-BE04-8C32D5AA73D7}"/>
      </w:docPartPr>
      <w:docPartBody>
        <w:p w14:paraId="6D0F3378"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7B11C948CB047509754D2E98D64E8D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770076-485E-4903-8E02-BBA18D240EB2}"/>
      </w:docPartPr>
      <w:docPartBody>
        <w:p w14:paraId="60E814FF"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1E19C2C37D04883B26821C82380599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550E8D-8789-43A9-B9CB-7C829C8F0B29}"/>
      </w:docPartPr>
      <w:docPartBody>
        <w:p w14:paraId="2386379C"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5082"/>
    <w:rsid w:val="00200766"/>
    <w:rsid w:val="004D76CF"/>
    <w:rsid w:val="00950FAE"/>
    <w:rsid w:val="00985082"/>
    <w:rsid w:val="00C47BA9"/>
    <w:rsid w:val="00E70620"/>
    <w:rsid w:val="00F05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iPriority="1" w:name="Default Paragraph Font"/>
    <w:lsdException w:uiPriority="99" w:name="Normal Table"/>
    <w:lsdException w:qFormat="1"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qFormat/>
    <w:uiPriority w:val="99"/>
    <w:rPr>
      <w:color w:val="808080"/>
    </w:rPr>
  </w:style>
  <w:style w:type="paragraph" w:customStyle="1" w:styleId="5">
    <w:name w:val="CF783BB2039F48D9B8618A8CB818C34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50D883D024174DD58FC430FF20A1AEE4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063A7111716B498F86395D3F6E55977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2AD274B0C0E249788956CAAA2D66193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B46C3744FA3E4A9C8A91B57E71D30B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10972201248F448A838DE0F5980517A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C76EE606EFC44110802EEC9C7BCF798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4CA5387612B54E3083B1C0CB0A91E2C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B44C61D1D07C45F9A8F5F02249A18D1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7B11C948CB047509754D2E98D64E8D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71E19C2C37D04883B26821C82380599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ED00142B0FBD43B284A4E568FFDD226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C4584372C81948DDB0FA1D86D169C01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4F1EC2C0E5AF4F7F8761E31EFBE11FB9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46B0399AD9724FB8BE2AEE063E7A737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461</Words>
  <Characters>532</Characters>
  <Lines>5</Lines>
  <Paragraphs>1</Paragraphs>
  <TotalTime>1</TotalTime>
  <ScaleCrop>false</ScaleCrop>
  <LinksUpToDate>false</LinksUpToDate>
  <CharactersWithSpaces>662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2019-07-12T08:06:00Z</dcterms:created>
  <dc:creator>dongYP</dc:creator>
  <cp:lastModifiedBy>czq</cp:lastModifiedBy>
  <dcterms:modified xsi:type="dcterms:W3CDTF">2026-03-22T12:07:26Z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eyJoZGlkIjoiYzM2YTgzMzQ4ZmFlZTBhNGZjM2IxNWEyZWRiNjNiOGMiLCJ1c2VySWQiOiIxMTQ3NzI5OTkxIn0=</vt:lpwstr>
  </property>
  <property fmtid="{D5CDD505-2E9C-101B-9397-08002B2CF9AE}" pid="3" name="KSOProductBuildVer">
    <vt:lpwstr>2052-12.1.0.24657</vt:lpwstr>
  </property>
  <property fmtid="{D5CDD505-2E9C-101B-9397-08002B2CF9AE}" pid="4" name="ICV">
    <vt:lpwstr>4D123A3DE2BE458DB593698B1E5443E6_12</vt:lpwstr>
  </property>
</Properties>
</file>