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4DC61"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 w14:paraId="00CD93D8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 w14:paraId="2B18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 w14:paraId="23E9371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 w14:paraId="77D6370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8FCCB2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21C39EB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142F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 w14:paraId="1F3EA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690E7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 w14:paraId="56201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 w14:paraId="4F03EE4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7C0A72E1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C4B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 w14:paraId="7C741A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057AD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00792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 w14:paraId="2FDB71C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254EF607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 w14:paraId="5622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 w14:paraId="40B2E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ED8F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5FBE9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 w14:paraId="1F146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4A3473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DEA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 w14:paraId="727AB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6D76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 w14:paraId="53C8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 w14:paraId="69B05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41DA60D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063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 w14:paraId="13946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E751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0A3D0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 w14:paraId="3CE8A6C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747849D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 w14:paraId="24F1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 w14:paraId="50F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833CD6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2EF7D170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 w14:paraId="59B304E0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79AD0E0"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1.55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0.88</w:t>
          </w:r>
          <w:r>
            <w:rPr>
              <w:rFonts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0.26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 w14:paraId="3B36B296"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 w14:paraId="14AA8519"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93.75</w:t>
          </w:r>
          <w:r>
            <w:rPr>
              <w:u w:val="single"/>
            </w:rPr>
            <w:t xml:space="preserve">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 w14:paraId="4FE07132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61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 w14:paraId="5F62A2A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本项目位于合肥，冬季主导风向为东，夏季、过渡季主导风向为西南偏南，经建筑通风 Vent2025 软件模拟分析，场地风环境整体满足规范及舒适性要求：冬季工况下，建筑物周围人行区 1.5m 高处最大风速 1.55m/s（＜5m/s），最大风速放大系数 0.88（＜2），建筑迎背风面风压差 0.26Pa（＜5Pa），既保证行人行走舒适，又减少冷风渗透，降低建筑热负荷；夏季、过渡季工况下，场地内人活动区无涡旋及无风区，93.75% 可开启外窗室内外风压差＞0.5Pa，大幅提升建筑自然通风效率，改善室内热舒适。项目通过顺应场地主导风向的建筑布局设计，优化建筑体块排布，减少风环境遮挡与紊流；结合场地景观布局，设置乔木林地等绿化空间，柔化场地风场，降低局部风速放大效应；采用通透化建筑立面设计，提升建筑可开启外窗比例，最大化利用自然通风，实现室外行走舒适、活动区风环境良好与建筑自然通风的协同优化。</w:t>
            </w:r>
          </w:p>
        </w:tc>
      </w:tr>
    </w:tbl>
    <w:p w14:paraId="11CFE996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2DD68C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BF514D9"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 w14:paraId="2A0D2268"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 w14:paraId="376E5040"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 w14:paraId="49D3D94E"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 w14:paraId="0D01FD9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A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6DA4B36E">
            <w:pPr>
              <w:ind w:left="210" w:hanging="210" w:hangingChars="100"/>
              <w:rPr>
                <w:lang w:val="zh-CN"/>
              </w:rPr>
            </w:pPr>
            <w:r>
              <w:rPr>
                <w:rFonts w:hint="eastAsia"/>
              </w:rPr>
              <w:t>1）室外风环境模拟计算分析报告</w:t>
            </w:r>
            <w:r>
              <w:rPr>
                <w:rFonts w:hint="eastAsia"/>
                <w:lang w:val="zh-CN"/>
              </w:rPr>
              <w:t>；</w:t>
            </w:r>
          </w:p>
          <w:p w14:paraId="23880874">
            <w:pPr>
              <w:ind w:left="210" w:hanging="210" w:hangingChars="100"/>
            </w:pPr>
            <w:r>
              <w:t>2</w:t>
            </w:r>
            <w:r>
              <w:rPr>
                <w:rFonts w:hint="eastAsia"/>
              </w:rPr>
              <w:t>）总平面图；</w:t>
            </w:r>
          </w:p>
          <w:p w14:paraId="0D73C06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3E2EA2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5E03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 w14:paraId="74E37226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 w14:paraId="14DF36C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 w14:paraId="7F8AEC61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 w14:paraId="46E05C63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 w14:paraId="4F29AC9A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736</Characters>
  <Lines>6</Lines>
  <Paragraphs>1</Paragraphs>
  <TotalTime>3</TotalTime>
  <ScaleCrop>false</ScaleCrop>
  <LinksUpToDate>false</LinksUpToDate>
  <CharactersWithSpaces>775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czq</cp:lastModifiedBy>
  <dcterms:modified xsi:type="dcterms:W3CDTF">2026-03-22T13:39:52Z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8F2A2D382C1A465B8DC518005238A993_12</vt:lpwstr>
  </property>
</Properties>
</file>