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工程概况修正：2026 年 3 月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0" w:id="0"/>
      <w:r>
        <w:rPr>
          <w:rFonts w:eastAsia="等线" w:ascii="Arial" w:cs="Arial" w:hAnsi="Arial"/>
          <w:b w:val="true"/>
          <w:sz w:val="30"/>
        </w:rPr>
        <w:t>一、修正后工程概况表</w:t>
      </w:r>
      <w:bookmarkEnd w:id="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核心信息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一、工程基本信息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工程名称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城市会客厅（甲类公共建筑）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工程地点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安徽省合肥市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建筑功能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集展览、餐饮、娱乐、办公、休闲等功能于一体的城市公共会客厅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设计使用年限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 年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建筑气候分区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夏热冬冷 A 区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绿色建筑目标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绿色建筑三星级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报告编制日期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2026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二、建筑设计概况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总建筑面积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 5876㎡，地下 0㎡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建筑层数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 4 层，地下 0 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建筑总高度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18.0m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标准层高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4.5m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建筑体形系数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0.21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综合窗墙比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0.28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天窗设置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无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三、结构设计概况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装配式混凝土框架结构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抗震设防烈度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 度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结构安全等级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二级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抗震设防类别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标准设防类（丙类）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地上预制构件混凝土体积占比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52%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四、主要工程材料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结构主体材料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钢筋混凝土、预制混凝土构件、C20 细石混凝土、轻骨料混凝土、煤矸石空心砖、水泥砂浆、混合砂浆、HRB400 级钢筋、HPB300 级钢筋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保温隔热材料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挤塑聚苯乙烯泡沫塑料板（XPS）、岩棉条复合板、石墨聚苯乙烯保温隔声板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门窗幕墙材料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三银 Low-E 中空玻璃、金属隔热断桥框、配套保温膜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可再生能源材料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单晶硅光伏组件、光伏逆变器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五、核心专项设计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被动式节能设计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以徽派天井为核心的自然通风、自然采光优化设计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暖通空调系统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湖水源热泵空调系统，风机盘管 + 辐射采暖末端，配套显热回收装置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可再生能源利用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屋面分布式光伏发电系统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水资源利用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以天井为枢纽的雨水收集回用系统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室内环境控制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专项气流组织设计，防止不同功能区污染物交叉串通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工业化建造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采用装配式混凝土结构体系，标准化预制构件与工业化施工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二、9.2.5 采用符合工业化建造要求的结构体系与建筑构件自评报告（10 分）</w:t>
      </w:r>
      <w:bookmarkEnd w:id="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" w:id="2"/>
      <w:r>
        <w:rPr>
          <w:rFonts w:eastAsia="等线" w:ascii="Arial" w:cs="Arial" w:hAnsi="Arial"/>
          <w:b w:val="true"/>
          <w:sz w:val="28"/>
        </w:rPr>
        <w:t>1 得分自评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评价内容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评价分值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自评得分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主体结构采用钢结构、木结构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主体结构采用装配式混凝土结构，地上部分预制构件应用混凝土体积占混凝土总体积的比例达到 35%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主体结构采用装配式混凝土结构，地上部分预制构件应用混凝土体积占混凝土总体积的比例达到 50%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2 评价要点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建筑主体结构采用：装配式混凝土结构，其中地上部分预制构件应用混凝土体积占混凝土总体积的比例达到 </w:t>
      </w:r>
      <w:r>
        <w:rPr>
          <w:rFonts w:eastAsia="等线" w:ascii="Arial" w:cs="Arial" w:hAnsi="Arial"/>
          <w:b w:val="true"/>
          <w:sz w:val="22"/>
        </w:rPr>
        <w:t>52%</w:t>
      </w:r>
      <w:r>
        <w:rPr>
          <w:rFonts w:eastAsia="等线" w:ascii="Arial" w:cs="Arial" w:hAnsi="Arial"/>
          <w:sz w:val="22"/>
        </w:rPr>
        <w:t>。</w:t>
      </w: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4" w:id="4"/>
      <w:r>
        <w:rPr>
          <w:rFonts w:eastAsia="等线" w:ascii="Arial" w:cs="Arial" w:hAnsi="Arial"/>
          <w:b w:val="true"/>
          <w:sz w:val="24"/>
        </w:rPr>
        <w:t>本项目选用的结构体系及实施情况说明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本项目为地上 4 层甲类公共建筑，总建筑面积 5676㎡，主体结构选用</w:t>
      </w:r>
      <w:r>
        <w:rPr>
          <w:rFonts w:eastAsia="等线" w:ascii="Arial" w:cs="Arial" w:hAnsi="Arial"/>
          <w:b w:val="true"/>
          <w:sz w:val="22"/>
        </w:rPr>
        <w:t>装配整体式混凝土框架结构</w:t>
      </w:r>
      <w:r>
        <w:rPr>
          <w:rFonts w:eastAsia="等线" w:ascii="Arial" w:cs="Arial" w:hAnsi="Arial"/>
          <w:sz w:val="22"/>
        </w:rPr>
        <w:t>，结构设计、构件生产、施工安装全过程严格遵循《装配式混凝土建筑技术标准》GB/T 51231-2016 等国家现行规范要求，完全符合工业化建造核心要求，具体实施情况如下：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预制构件标准化应用</w:t>
      </w:r>
      <w:r>
        <w:rPr>
          <w:rFonts w:eastAsia="等线" w:ascii="Arial" w:cs="Arial" w:hAnsi="Arial"/>
          <w:sz w:val="22"/>
        </w:rPr>
        <w:t>：地上主体结构采用工厂标准化预制构件，覆盖预制框架柱、预制框架梁、预制叠合楼板、预制楼梯等核心受力构件，实现主体结构构件的工厂化预制生产、现场装配化施工，大幅减少现场湿作业，提升建造效率与工程质量稳定性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预制率指标达标情况</w:t>
      </w:r>
      <w:r>
        <w:rPr>
          <w:rFonts w:eastAsia="等线" w:ascii="Arial" w:cs="Arial" w:hAnsi="Arial"/>
          <w:sz w:val="22"/>
        </w:rPr>
        <w:t>：经第三方机构核算，本项目地上部分预制构件应用混凝土体积为 1180.54m³，地上结构混凝土总体积为 2270.28m³，预制构件应用混凝土体积占比达到 52%，满足《绿色建筑评价标准》GB/T 50378-2019（2024 年版）本条满分评价要求。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工业化建造全流程管控</w:t>
      </w:r>
      <w:r>
        <w:rPr>
          <w:rFonts w:eastAsia="等线" w:ascii="Arial" w:cs="Arial" w:hAnsi="Arial"/>
          <w:sz w:val="22"/>
        </w:rPr>
        <w:t>：项目采用 BIM 技术完成预制构件深化设计，实现构件生产、运输、吊装全流程信息化管控；所有预制构件均由具备专业资质的构件厂标准化生产，进场前完成全数质量检验，安装过程采用高精度定位技术，装配节点施工质量全程受控，主体结构验收合格率 100%。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结构安全与抗震保障</w:t>
      </w:r>
      <w:r>
        <w:rPr>
          <w:rFonts w:eastAsia="等线" w:ascii="Arial" w:cs="Arial" w:hAnsi="Arial"/>
          <w:sz w:val="22"/>
        </w:rPr>
        <w:t>：预制构件连接节点采用灌浆套筒连接、叠合层现浇等可靠构造形式，节点受力性能满足设计及规范要求，保障整体结构的安全性、抗震性能与耐久性，完全符合本项目 7 度抗震设防烈度的设计要求。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3 证明材料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提交材料及要求：</w:t>
        <w:br/>
        <w:t>1）结构专业竣工图及设计说明，应包含平立剖图、构件详图、节点详图、大样图、楼梯详图等；</w:t>
        <w:br/>
      </w:r>
      <w:r>
        <w:rPr>
          <w:rFonts w:eastAsia="等线" w:ascii="Arial" w:cs="Arial" w:hAnsi="Arial"/>
          <w:sz w:val="22"/>
        </w:rPr>
        <w:t>2）预制构件应用比例计算书、工程竣工质量报告、工程概况表、设计变更文件。</w:t>
      </w:r>
    </w:p>
    <w:p>
      <w:pPr>
        <w:pStyle w:val="5"/>
        <w:spacing w:before="240" w:after="120" w:line="288" w:lineRule="auto"/>
        <w:ind w:left="0"/>
        <w:jc w:val="left"/>
        <w:outlineLvl w:val="4"/>
      </w:pPr>
      <w:bookmarkStart w:name="heading_6" w:id="6"/>
      <w:r>
        <w:rPr>
          <w:rFonts w:eastAsia="等线" w:ascii="Arial" w:cs="Arial" w:hAnsi="Arial"/>
          <w:b w:val="true"/>
          <w:sz w:val="24"/>
        </w:rPr>
        <w:t>实际提交材料：</w:t>
      </w:r>
      <w:bookmarkEnd w:id="6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结构专业全套竣工图（含建筑平立剖竣工图、结构平面布置竣工图、预制构件详图、装配节点详图、大样图、楼梯详图等）及结构设计总说明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装配式混凝土结构预制构件应用比例计算书（含完整计算过程、工程量核算明细、第三方复核确认文件）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城市会客厅项目工程竣工质量报告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项目工程概况表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全套设计变更文件、工程洽商记录及技术核定单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预制构件出厂合格证、进场验收记录、力学性能及连接性能检测报告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装配式结构专项施工方案、隐蔽工程验收记录、主体结构分部工程验收记录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9560">
    <w:lvl>
      <w:start w:val="1"/>
      <w:numFmt w:val="decimal"/>
      <w:suff w:val="tab"/>
      <w:lvlText w:val="%1."/>
      <w:rPr>
        <w:color w:val="3370ff"/>
      </w:rPr>
    </w:lvl>
  </w:abstractNum>
  <w:abstractNum w:abstractNumId="79561">
    <w:lvl>
      <w:start w:val="2"/>
      <w:numFmt w:val="decimal"/>
      <w:suff w:val="tab"/>
      <w:lvlText w:val="%1."/>
      <w:rPr>
        <w:color w:val="3370ff"/>
      </w:rPr>
    </w:lvl>
  </w:abstractNum>
  <w:abstractNum w:abstractNumId="79562">
    <w:lvl>
      <w:start w:val="3"/>
      <w:numFmt w:val="decimal"/>
      <w:suff w:val="tab"/>
      <w:lvlText w:val="%1."/>
      <w:rPr>
        <w:color w:val="3370ff"/>
      </w:rPr>
    </w:lvl>
  </w:abstractNum>
  <w:abstractNum w:abstractNumId="79563">
    <w:lvl>
      <w:start w:val="4"/>
      <w:numFmt w:val="decimal"/>
      <w:suff w:val="tab"/>
      <w:lvlText w:val="%1."/>
      <w:rPr>
        <w:color w:val="3370ff"/>
      </w:rPr>
    </w:lvl>
  </w:abstractNum>
  <w:abstractNum w:abstractNumId="79564">
    <w:lvl>
      <w:start w:val="1"/>
      <w:numFmt w:val="decimal"/>
      <w:suff w:val="tab"/>
      <w:lvlText w:val="%1."/>
      <w:rPr>
        <w:color w:val="3370ff"/>
      </w:rPr>
    </w:lvl>
  </w:abstractNum>
  <w:abstractNum w:abstractNumId="79565">
    <w:lvl>
      <w:start w:val="2"/>
      <w:numFmt w:val="decimal"/>
      <w:suff w:val="tab"/>
      <w:lvlText w:val="%1."/>
      <w:rPr>
        <w:color w:val="3370ff"/>
      </w:rPr>
    </w:lvl>
  </w:abstractNum>
  <w:abstractNum w:abstractNumId="79566">
    <w:lvl>
      <w:start w:val="3"/>
      <w:numFmt w:val="decimal"/>
      <w:suff w:val="tab"/>
      <w:lvlText w:val="%1."/>
      <w:rPr>
        <w:color w:val="3370ff"/>
      </w:rPr>
    </w:lvl>
  </w:abstractNum>
  <w:abstractNum w:abstractNumId="79567">
    <w:lvl>
      <w:start w:val="4"/>
      <w:numFmt w:val="decimal"/>
      <w:suff w:val="tab"/>
      <w:lvlText w:val="%1."/>
      <w:rPr>
        <w:color w:val="3370ff"/>
      </w:rPr>
    </w:lvl>
  </w:abstractNum>
  <w:abstractNum w:abstractNumId="79568">
    <w:lvl>
      <w:start w:val="5"/>
      <w:numFmt w:val="decimal"/>
      <w:suff w:val="tab"/>
      <w:lvlText w:val="%1."/>
      <w:rPr>
        <w:color w:val="3370ff"/>
      </w:rPr>
    </w:lvl>
  </w:abstractNum>
  <w:abstractNum w:abstractNumId="79569">
    <w:lvl>
      <w:start w:val="6"/>
      <w:numFmt w:val="decimal"/>
      <w:suff w:val="tab"/>
      <w:lvlText w:val="%1."/>
      <w:rPr>
        <w:color w:val="3370ff"/>
      </w:rPr>
    </w:lvl>
  </w:abstractNum>
  <w:abstractNum w:abstractNumId="79570">
    <w:lvl>
      <w:start w:val="7"/>
      <w:numFmt w:val="decimal"/>
      <w:suff w:val="tab"/>
      <w:lvlText w:val="%1."/>
      <w:rPr>
        <w:color w:val="3370ff"/>
      </w:rPr>
    </w:lvl>
  </w:abstractNum>
  <w:num w:numId="1">
    <w:abstractNumId w:val="79560"/>
  </w:num>
  <w:num w:numId="2">
    <w:abstractNumId w:val="79561"/>
  </w:num>
  <w:num w:numId="3">
    <w:abstractNumId w:val="79562"/>
  </w:num>
  <w:num w:numId="4">
    <w:abstractNumId w:val="79563"/>
  </w:num>
  <w:num w:numId="5">
    <w:abstractNumId w:val="79564"/>
  </w:num>
  <w:num w:numId="6">
    <w:abstractNumId w:val="79565"/>
  </w:num>
  <w:num w:numId="7">
    <w:abstractNumId w:val="79566"/>
  </w:num>
  <w:num w:numId="8">
    <w:abstractNumId w:val="79567"/>
  </w:num>
  <w:num w:numId="9">
    <w:abstractNumId w:val="79568"/>
  </w:num>
  <w:num w:numId="10">
    <w:abstractNumId w:val="79569"/>
  </w:num>
  <w:num w:numId="11">
    <w:abstractNumId w:val="7957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2026-03-25T05:45:10Z</dcterms:created>
  <dc:creator>Apache POI</dc:creator>
</cp:coreProperties>
</file>