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A0A3">
      <w:pPr>
        <w:pageBreakBefore w:val="0"/>
        <w:wordWrap/>
        <w:spacing w:before="160" w:after="0"/>
        <w:ind w:left="0" w:right="0"/>
        <w:jc w:val="center"/>
        <w:textAlignment w:val="auto"/>
        <w:rPr>
          <w:b/>
          <w:bCs w:val="0"/>
          <w:sz w:val="36"/>
          <w:szCs w:val="36"/>
        </w:rPr>
      </w:pPr>
      <w:r>
        <w:rPr>
          <w:rFonts w:ascii="宋体" w:hAnsi="宋体" w:eastAsia="宋体" w:cs="宋体"/>
          <w:b/>
          <w:bCs w:val="0"/>
          <w:i w:val="0"/>
          <w:spacing w:val="0"/>
          <w:sz w:val="36"/>
          <w:szCs w:val="36"/>
        </w:rPr>
        <w:t>垃圾管理制度</w:t>
      </w:r>
      <w:bookmarkStart w:id="0" w:name="_GoBack"/>
      <w:bookmarkEnd w:id="0"/>
    </w:p>
    <w:p w14:paraId="1BB3F81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一、总则</w:t>
      </w:r>
    </w:p>
    <w:p w14:paraId="763354CC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目的：为规范江西理工大学图文信息中心垃圾管理工作，提高资源化利用率，减少环境污染，推进绿色校园建设，根据《中华人民共和国固体废物污染环境防治法》《生活垃圾分类制度实施方案》等相关法规及学校要求，结合图文信息中心实际，制定本制度。</w:t>
      </w:r>
    </w:p>
    <w:p w14:paraId="247A6063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适用范围：本制度适用于图文信息中心所有区域（含楼宇内公共区域、办公区、阅览区、会议室、卫生间等）及所有使用人员（含师生、员工、访客等）。</w:t>
      </w:r>
    </w:p>
    <w:p w14:paraId="317E7465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管理原则：分类投放、分类收集、分类运输、分类处理；减量化、资源化、无害化。</w:t>
      </w:r>
    </w:p>
    <w:p w14:paraId="0BCA6887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二、垃圾分类标准及要求</w:t>
      </w:r>
    </w:p>
    <w:p w14:paraId="542AAEA2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分类类别：</w:t>
      </w:r>
    </w:p>
    <w:p w14:paraId="30DF1795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可回收物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：废纸张（书籍、报刊、打印纸、包装盒等）、废塑料（饮料瓶、塑料文具等）、废金属（金属罐、办公用品等）、废玻璃、废织物等。</w:t>
      </w:r>
    </w:p>
    <w:p w14:paraId="0A15A11A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有害垃圾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：废电池（纽扣电池、充电电池等）、废荧光灯管、废墨盒/硒鼓、过期药品、废杀虫剂等。</w:t>
      </w:r>
    </w:p>
    <w:p w14:paraId="1A8CC7A7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厨余垃圾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：食堂产生的餐厨废弃物（本项目若含食堂需单独处理，若无食堂则不涉及）。</w:t>
      </w:r>
    </w:p>
    <w:p w14:paraId="1FF4359E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其他垃圾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：除上述类别外的其他生活垃圾，如尘土、陶瓷类制品、一次性餐具等。</w:t>
      </w:r>
    </w:p>
    <w:p w14:paraId="59526BCE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投放要求：</w:t>
      </w:r>
    </w:p>
    <w:p w14:paraId="30CFBF3B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按分类标识准确投放，禁止混合投放；</w:t>
      </w:r>
    </w:p>
    <w:p w14:paraId="442905C8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易破损、易污染物品（如玻璃、废电池）应包裹后投放；</w:t>
      </w:r>
    </w:p>
    <w:p w14:paraId="6AE8512B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液体垃圾（如饮料）需沥干后投放；</w:t>
      </w:r>
    </w:p>
    <w:p w14:paraId="4ABA9C52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大件垃圾（如家具、电器）需联系物业预约处理。</w:t>
      </w:r>
    </w:p>
    <w:p w14:paraId="2AF33930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三、分类设施与管理责任</w:t>
      </w:r>
    </w:p>
    <w:p w14:paraId="21D3B001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设施配置：</w:t>
      </w:r>
    </w:p>
    <w:p w14:paraId="3530F1EC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每层楼设置可回收物、其他垃圾两类分类垃圾桶；</w:t>
      </w:r>
    </w:p>
    <w:p w14:paraId="45A41A54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各楼层卫生间设置其他垃圾桶；</w:t>
      </w:r>
    </w:p>
    <w:p w14:paraId="020EAB0E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首层大厅、主要出入口设置可回收物、有害垃圾、其他垃圾三类组合桶；</w:t>
      </w:r>
    </w:p>
    <w:p w14:paraId="55CF7287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地下室或指定区域设置大件垃圾暂存点。</w:t>
      </w:r>
    </w:p>
    <w:p w14:paraId="217AA9DD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管理责任：</w:t>
      </w:r>
    </w:p>
    <w:p w14:paraId="33D40A55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物业管理部门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：负责分类设施配置、维护、日常巡查及垃圾清运；定期联系有资质的单位处理有害垃圾；建立管理台账。</w:t>
      </w:r>
    </w:p>
    <w:p w14:paraId="041B21CA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使用部门/人员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：负责责任区域内垃圾分类投放；配合物业进行垃圾分类管理。</w:t>
      </w:r>
    </w:p>
    <w:p w14:paraId="61E87B38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后勤保障部门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：统筹协调垃圾分类工作，制定培训计划，监督制度执行。</w:t>
      </w:r>
    </w:p>
    <w:p w14:paraId="3A8E3DFE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四、收运与处理流程</w:t>
      </w:r>
    </w:p>
    <w:p w14:paraId="26F4571B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收运要求：</w:t>
      </w:r>
    </w:p>
    <w:p w14:paraId="248A07E7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分类垃圾由物业专人按固定路线和时间清运，防止二次污染；</w:t>
      </w:r>
    </w:p>
    <w:p w14:paraId="57FF3188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可回收物交由再生资源回收企业处理；</w:t>
      </w:r>
    </w:p>
    <w:p w14:paraId="5DCAD2D2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有害垃圾交由有危险废物处理资质的单位处置；</w:t>
      </w:r>
    </w:p>
    <w:p w14:paraId="718D8BF9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其他垃圾由市政环卫部门统一清运至生活垃圾处理设施；</w:t>
      </w:r>
    </w:p>
    <w:p w14:paraId="70562D92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厨余垃圾（如有）需日产日清，交由专业单位进行资源化处理。</w:t>
      </w:r>
    </w:p>
    <w:p w14:paraId="165DBE94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处理记录：</w:t>
      </w:r>
    </w:p>
    <w:p w14:paraId="437CE666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建立垃圾清运、处理登记台账，记录垃圾种类、数量、去向、处理单位等信息；</w:t>
      </w:r>
    </w:p>
    <w:p w14:paraId="42166A77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定期向学校相关部门报备。</w:t>
      </w:r>
    </w:p>
    <w:p w14:paraId="3960A16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五、宣传与培训</w:t>
      </w:r>
    </w:p>
    <w:p w14:paraId="69B2965F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通过张贴分类指南、电子屏宣传、微信公众号推送等方式普及垃圾分类知识；</w:t>
      </w:r>
    </w:p>
    <w:p w14:paraId="6EAEE04D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定期组织垃圾分类培训，对新入职员工、新生开展专项教育；</w:t>
      </w:r>
    </w:p>
    <w:p w14:paraId="7116B2BE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鼓励开展垃圾分类志愿活动，提高参与度。</w:t>
      </w:r>
    </w:p>
    <w:p w14:paraId="551A5DC4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六、监督与考核</w:t>
      </w:r>
    </w:p>
    <w:p w14:paraId="10609AB6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物业每日巡查垃圾分类情况，对不规范行为进行提醒、指导；</w:t>
      </w:r>
    </w:p>
    <w:p w14:paraId="5428E5F0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后勤保障部门定期开展检查，并将结果纳入部门考核；</w:t>
      </w:r>
    </w:p>
    <w:p w14:paraId="78BF051E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对多次违规投放的个人或部门，予以通报批评或相应处理；</w:t>
      </w:r>
    </w:p>
    <w:p w14:paraId="1A5EFA58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鼓励公众监督，设立投诉建议渠道。</w:t>
      </w:r>
    </w:p>
    <w:p w14:paraId="0D5FB833">
      <w:pPr>
        <w:jc w:val="left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782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FF5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45AF58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1394</Words>
  <Characters>1403</Characters>
  <TotalTime>1</TotalTime>
  <ScaleCrop>false</ScaleCrop>
  <LinksUpToDate>false</LinksUpToDate>
  <CharactersWithSpaces>1403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2026-03-29T03:21:00Z</dcterms:created>
  <dc:creator>Apache POI</dc:creator>
  <cp:lastModifiedBy>℡</cp:lastModifiedBy>
  <dcterms:modified xsi:type="dcterms:W3CDTF">2026-03-29T03:22:24Z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Vd4/v8MEQ1vAQibl+ny6ICnuUgbzRf8ZG9bkxero3Hw=","ProduceID":"doc_sgs:cb98268f-df8a-4b5f-8ef4-e8de9aad9a49","ReservedCode2":"Vd4/v8MEQ1vAQibl+ny6ICnuUgbzRf8ZG9bkxero3Hw=","PropagateID":"doc_sgs:cb98268f-df8a-4b5f-8ef4-e8de9aad9a49","ContentProducer":"001191440101MA9Y9T4H7A00000"}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2052-12.1.0.25225</vt:lpwstr>
  </property>
  <property fmtid="{D5CDD505-2E9C-101B-9397-08002B2CF9AE}" pid="5" name="ICV">
    <vt:lpwstr>4B697A56838F43ADB8F921809E309E19_12</vt:lpwstr>
  </property>
</Properties>
</file>