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A31B2">
      <w:pPr>
        <w:jc w:val="center"/>
        <w:rPr>
          <w:rFonts w:hint="eastAsia"/>
          <w:b/>
          <w:bCs/>
          <w:sz w:val="48"/>
          <w:szCs w:val="48"/>
        </w:rPr>
      </w:pPr>
      <w:r>
        <w:rPr>
          <w:rFonts w:hint="eastAsia"/>
          <w:b/>
          <w:bCs/>
          <w:sz w:val="48"/>
          <w:szCs w:val="48"/>
        </w:rPr>
        <w:t>关于印发《赣州市2024年建筑节能与绿色建筑发展工作要点》的通知</w:t>
      </w:r>
    </w:p>
    <w:p w14:paraId="23F0C6E7">
      <w:pPr>
        <w:jc w:val="left"/>
        <w:rPr>
          <w:rFonts w:hint="eastAsia"/>
          <w:b w:val="0"/>
          <w:bCs w:val="0"/>
          <w:sz w:val="24"/>
          <w:szCs w:val="24"/>
        </w:rPr>
      </w:pPr>
      <w:r>
        <w:rPr>
          <w:rFonts w:hint="eastAsia"/>
          <w:b w:val="0"/>
          <w:bCs w:val="0"/>
          <w:sz w:val="24"/>
          <w:szCs w:val="24"/>
        </w:rPr>
        <w:t>来源：市住房和城乡建设局</w:t>
      </w:r>
      <w:r>
        <w:rPr>
          <w:rFonts w:hint="eastAsia"/>
          <w:b w:val="0"/>
          <w:bCs w:val="0"/>
          <w:sz w:val="24"/>
          <w:szCs w:val="24"/>
          <w:lang w:val="en-US" w:eastAsia="zh-CN"/>
        </w:rPr>
        <w:t xml:space="preserve"> </w:t>
      </w:r>
      <w:r>
        <w:rPr>
          <w:rFonts w:hint="eastAsia"/>
          <w:b w:val="0"/>
          <w:bCs w:val="0"/>
          <w:sz w:val="24"/>
          <w:szCs w:val="24"/>
        </w:rPr>
        <w:t>发布时间：2024-02-21 16:27:45</w:t>
      </w:r>
      <w:r>
        <w:rPr>
          <w:rFonts w:hint="eastAsia"/>
          <w:b w:val="0"/>
          <w:bCs w:val="0"/>
          <w:sz w:val="24"/>
          <w:szCs w:val="24"/>
          <w:lang w:val="en-US" w:eastAsia="zh-CN"/>
        </w:rPr>
        <w:t xml:space="preserve"> </w:t>
      </w:r>
      <w:r>
        <w:rPr>
          <w:rFonts w:hint="eastAsia"/>
          <w:b w:val="0"/>
          <w:bCs w:val="0"/>
          <w:sz w:val="24"/>
          <w:szCs w:val="24"/>
        </w:rPr>
        <w:t>访问量：1649</w:t>
      </w:r>
    </w:p>
    <w:p w14:paraId="24F45496">
      <w:pPr>
        <w:ind w:firstLine="301" w:firstLineChars="100"/>
        <w:jc w:val="right"/>
        <w:rPr>
          <w:rFonts w:hint="eastAsia"/>
          <w:b/>
          <w:bCs/>
          <w:sz w:val="30"/>
          <w:szCs w:val="30"/>
        </w:rPr>
      </w:pPr>
      <w:r>
        <w:rPr>
          <w:rFonts w:hint="eastAsia"/>
          <w:b/>
          <w:bCs/>
          <w:sz w:val="30"/>
          <w:szCs w:val="30"/>
        </w:rPr>
        <w:t>〔2024〕7号</w:t>
      </w:r>
    </w:p>
    <w:p w14:paraId="740215CC">
      <w:pPr>
        <w:rPr>
          <w:rFonts w:hint="eastAsia"/>
          <w:sz w:val="48"/>
          <w:szCs w:val="48"/>
        </w:rPr>
      </w:pPr>
    </w:p>
    <w:p w14:paraId="30E796DF">
      <w:pPr>
        <w:rPr>
          <w:rFonts w:hint="eastAsia"/>
        </w:rPr>
      </w:pPr>
    </w:p>
    <w:p w14:paraId="51879607">
      <w:pPr>
        <w:rPr>
          <w:rFonts w:hint="eastAsia"/>
        </w:rPr>
      </w:pPr>
    </w:p>
    <w:p w14:paraId="2F97E6F4">
      <w:pPr>
        <w:rPr>
          <w:rFonts w:hint="eastAsia"/>
          <w:sz w:val="28"/>
          <w:szCs w:val="28"/>
        </w:rPr>
      </w:pPr>
      <w:r>
        <w:rPr>
          <w:rFonts w:hint="eastAsia"/>
          <w:sz w:val="28"/>
          <w:szCs w:val="28"/>
        </w:rPr>
        <w:t>各县（市、区）住房和城乡建设局，各相关单位：</w:t>
      </w:r>
    </w:p>
    <w:p w14:paraId="530AD655">
      <w:pPr>
        <w:rPr>
          <w:rFonts w:hint="eastAsia"/>
          <w:sz w:val="28"/>
          <w:szCs w:val="28"/>
        </w:rPr>
      </w:pPr>
    </w:p>
    <w:p w14:paraId="1467C575">
      <w:pPr>
        <w:rPr>
          <w:rFonts w:hint="eastAsia"/>
          <w:sz w:val="28"/>
          <w:szCs w:val="28"/>
        </w:rPr>
      </w:pPr>
      <w:r>
        <w:rPr>
          <w:rFonts w:hint="eastAsia"/>
          <w:sz w:val="28"/>
          <w:szCs w:val="28"/>
        </w:rPr>
        <w:t>现将《赣州市2024年建筑节能与绿色建筑发展工作要点》印发给你们，请认真遵照执行。</w:t>
      </w:r>
    </w:p>
    <w:p w14:paraId="6CBD44F2">
      <w:pPr>
        <w:rPr>
          <w:rFonts w:hint="eastAsia"/>
          <w:sz w:val="28"/>
          <w:szCs w:val="28"/>
        </w:rPr>
      </w:pPr>
    </w:p>
    <w:p w14:paraId="69639C3B">
      <w:pPr>
        <w:rPr>
          <w:rFonts w:hint="eastAsia"/>
          <w:sz w:val="28"/>
          <w:szCs w:val="28"/>
        </w:rPr>
      </w:pPr>
      <w:r>
        <w:rPr>
          <w:rFonts w:hint="eastAsia"/>
          <w:sz w:val="28"/>
          <w:szCs w:val="28"/>
        </w:rPr>
        <w:t> </w:t>
      </w:r>
    </w:p>
    <w:p w14:paraId="26757082">
      <w:pPr>
        <w:rPr>
          <w:rFonts w:hint="eastAsia"/>
          <w:sz w:val="28"/>
          <w:szCs w:val="28"/>
        </w:rPr>
      </w:pPr>
    </w:p>
    <w:p w14:paraId="7C10576E">
      <w:pPr>
        <w:rPr>
          <w:rFonts w:hint="eastAsia"/>
          <w:sz w:val="28"/>
          <w:szCs w:val="28"/>
        </w:rPr>
      </w:pPr>
      <w:r>
        <w:rPr>
          <w:rFonts w:hint="eastAsia"/>
          <w:sz w:val="28"/>
          <w:szCs w:val="28"/>
        </w:rPr>
        <w:t> </w:t>
      </w:r>
    </w:p>
    <w:p w14:paraId="145B0E08">
      <w:pPr>
        <w:rPr>
          <w:rFonts w:hint="eastAsia"/>
          <w:sz w:val="28"/>
          <w:szCs w:val="28"/>
        </w:rPr>
      </w:pPr>
    </w:p>
    <w:p w14:paraId="5EF236E8">
      <w:pPr>
        <w:rPr>
          <w:rFonts w:hint="eastAsia"/>
          <w:sz w:val="28"/>
          <w:szCs w:val="28"/>
        </w:rPr>
      </w:pPr>
      <w:r>
        <w:rPr>
          <w:rFonts w:hint="eastAsia"/>
          <w:sz w:val="28"/>
          <w:szCs w:val="28"/>
        </w:rPr>
        <w:t>赣州市住房和城乡建设局</w:t>
      </w:r>
    </w:p>
    <w:p w14:paraId="230C9E21">
      <w:pPr>
        <w:rPr>
          <w:rFonts w:hint="eastAsia"/>
          <w:sz w:val="28"/>
          <w:szCs w:val="28"/>
        </w:rPr>
      </w:pPr>
    </w:p>
    <w:p w14:paraId="7E716BEC">
      <w:pPr>
        <w:rPr>
          <w:rFonts w:hint="eastAsia"/>
          <w:sz w:val="28"/>
          <w:szCs w:val="28"/>
        </w:rPr>
      </w:pPr>
      <w:r>
        <w:rPr>
          <w:rFonts w:hint="eastAsia"/>
          <w:sz w:val="28"/>
          <w:szCs w:val="28"/>
        </w:rPr>
        <w:t>2024年2月21日</w:t>
      </w:r>
    </w:p>
    <w:p w14:paraId="6F75C1E9">
      <w:pPr>
        <w:rPr>
          <w:rFonts w:hint="eastAsia"/>
          <w:sz w:val="28"/>
          <w:szCs w:val="28"/>
        </w:rPr>
      </w:pPr>
    </w:p>
    <w:p w14:paraId="662AF2A2">
      <w:pPr>
        <w:rPr>
          <w:rFonts w:hint="eastAsia"/>
          <w:sz w:val="28"/>
          <w:szCs w:val="28"/>
        </w:rPr>
      </w:pPr>
      <w:r>
        <w:rPr>
          <w:rFonts w:hint="eastAsia"/>
          <w:sz w:val="28"/>
          <w:szCs w:val="28"/>
        </w:rPr>
        <w:t> </w:t>
      </w:r>
    </w:p>
    <w:p w14:paraId="1AF6C10F">
      <w:pPr>
        <w:rPr>
          <w:rFonts w:hint="eastAsia"/>
          <w:sz w:val="28"/>
          <w:szCs w:val="28"/>
        </w:rPr>
      </w:pPr>
    </w:p>
    <w:p w14:paraId="3FAE790E">
      <w:pPr>
        <w:rPr>
          <w:rFonts w:hint="eastAsia"/>
          <w:sz w:val="28"/>
          <w:szCs w:val="28"/>
        </w:rPr>
      </w:pPr>
      <w:r>
        <w:rPr>
          <w:rFonts w:hint="eastAsia"/>
          <w:sz w:val="28"/>
          <w:szCs w:val="28"/>
        </w:rPr>
        <w:t> </w:t>
      </w:r>
    </w:p>
    <w:p w14:paraId="174754AB">
      <w:pPr>
        <w:rPr>
          <w:rFonts w:hint="eastAsia"/>
          <w:sz w:val="28"/>
          <w:szCs w:val="28"/>
        </w:rPr>
      </w:pPr>
    </w:p>
    <w:p w14:paraId="6D14847B">
      <w:pPr>
        <w:rPr>
          <w:rFonts w:hint="eastAsia"/>
          <w:sz w:val="28"/>
          <w:szCs w:val="28"/>
        </w:rPr>
      </w:pPr>
      <w:r>
        <w:rPr>
          <w:rFonts w:hint="eastAsia"/>
          <w:sz w:val="28"/>
          <w:szCs w:val="28"/>
        </w:rPr>
        <w:t> </w:t>
      </w:r>
    </w:p>
    <w:p w14:paraId="40ABBB3B">
      <w:pPr>
        <w:rPr>
          <w:rFonts w:hint="eastAsia"/>
          <w:sz w:val="28"/>
          <w:szCs w:val="28"/>
        </w:rPr>
      </w:pPr>
    </w:p>
    <w:p w14:paraId="1B6B9C8A">
      <w:pPr>
        <w:rPr>
          <w:rFonts w:hint="eastAsia"/>
          <w:sz w:val="28"/>
          <w:szCs w:val="28"/>
        </w:rPr>
      </w:pPr>
      <w:r>
        <w:rPr>
          <w:rFonts w:hint="eastAsia"/>
          <w:sz w:val="28"/>
          <w:szCs w:val="28"/>
        </w:rPr>
        <w:t> </w:t>
      </w:r>
    </w:p>
    <w:p w14:paraId="1BA58BAB">
      <w:pPr>
        <w:rPr>
          <w:rFonts w:hint="eastAsia"/>
          <w:sz w:val="28"/>
          <w:szCs w:val="28"/>
        </w:rPr>
      </w:pPr>
    </w:p>
    <w:p w14:paraId="27EC3C26">
      <w:pPr>
        <w:rPr>
          <w:rFonts w:hint="eastAsia"/>
          <w:sz w:val="28"/>
          <w:szCs w:val="28"/>
        </w:rPr>
      </w:pPr>
      <w:r>
        <w:rPr>
          <w:rFonts w:hint="eastAsia"/>
          <w:sz w:val="28"/>
          <w:szCs w:val="28"/>
        </w:rPr>
        <w:t> </w:t>
      </w:r>
    </w:p>
    <w:p w14:paraId="59DFE423">
      <w:pPr>
        <w:rPr>
          <w:rFonts w:hint="eastAsia"/>
          <w:sz w:val="28"/>
          <w:szCs w:val="28"/>
        </w:rPr>
      </w:pPr>
    </w:p>
    <w:p w14:paraId="3C79CA9C">
      <w:pPr>
        <w:rPr>
          <w:rFonts w:hint="eastAsia"/>
          <w:sz w:val="28"/>
          <w:szCs w:val="28"/>
        </w:rPr>
      </w:pPr>
      <w:r>
        <w:rPr>
          <w:rFonts w:hint="eastAsia"/>
          <w:sz w:val="28"/>
          <w:szCs w:val="28"/>
        </w:rPr>
        <w:t>赣州市2024年</w:t>
      </w:r>
    </w:p>
    <w:p w14:paraId="51FF0792">
      <w:pPr>
        <w:rPr>
          <w:rFonts w:hint="eastAsia"/>
          <w:sz w:val="28"/>
          <w:szCs w:val="28"/>
        </w:rPr>
      </w:pPr>
    </w:p>
    <w:p w14:paraId="0137923F">
      <w:pPr>
        <w:rPr>
          <w:rFonts w:hint="eastAsia"/>
          <w:sz w:val="28"/>
          <w:szCs w:val="28"/>
        </w:rPr>
      </w:pPr>
      <w:r>
        <w:rPr>
          <w:rFonts w:hint="eastAsia"/>
          <w:sz w:val="28"/>
          <w:szCs w:val="28"/>
        </w:rPr>
        <w:t>建筑节能与绿色建筑发展工作要点</w:t>
      </w:r>
    </w:p>
    <w:p w14:paraId="03E9FB77">
      <w:pPr>
        <w:rPr>
          <w:rFonts w:hint="eastAsia"/>
          <w:sz w:val="28"/>
          <w:szCs w:val="28"/>
        </w:rPr>
      </w:pPr>
    </w:p>
    <w:p w14:paraId="53864BA1">
      <w:pPr>
        <w:rPr>
          <w:rFonts w:hint="eastAsia"/>
          <w:sz w:val="28"/>
          <w:szCs w:val="28"/>
        </w:rPr>
      </w:pPr>
      <w:r>
        <w:rPr>
          <w:rFonts w:hint="eastAsia"/>
          <w:sz w:val="28"/>
          <w:szCs w:val="28"/>
        </w:rPr>
        <w:t> </w:t>
      </w:r>
    </w:p>
    <w:p w14:paraId="4137E9F2">
      <w:pPr>
        <w:rPr>
          <w:rFonts w:hint="eastAsia"/>
          <w:sz w:val="28"/>
          <w:szCs w:val="28"/>
        </w:rPr>
      </w:pPr>
    </w:p>
    <w:p w14:paraId="0F9C4B7A">
      <w:pPr>
        <w:rPr>
          <w:rFonts w:hint="eastAsia"/>
          <w:sz w:val="28"/>
          <w:szCs w:val="28"/>
        </w:rPr>
      </w:pPr>
      <w:r>
        <w:rPr>
          <w:rFonts w:hint="eastAsia"/>
          <w:sz w:val="28"/>
          <w:szCs w:val="28"/>
        </w:rPr>
        <w:t>为全面贯彻创新、协调、绿色、开放、共享的新发展理念，认真落实市委、市政府和省住建厅有关工作部署，结合我市城乡建设领域碳达峰目标任务，现提出2024年赣州市建筑节能与绿色建筑发展工作要点。</w:t>
      </w:r>
    </w:p>
    <w:p w14:paraId="6EB3DFA9">
      <w:pPr>
        <w:rPr>
          <w:rFonts w:hint="eastAsia"/>
          <w:sz w:val="28"/>
          <w:szCs w:val="28"/>
        </w:rPr>
      </w:pPr>
    </w:p>
    <w:p w14:paraId="53C2320F">
      <w:pPr>
        <w:rPr>
          <w:rFonts w:hint="eastAsia"/>
          <w:sz w:val="28"/>
          <w:szCs w:val="28"/>
        </w:rPr>
      </w:pPr>
      <w:r>
        <w:rPr>
          <w:rFonts w:hint="eastAsia"/>
          <w:sz w:val="28"/>
          <w:szCs w:val="28"/>
        </w:rPr>
        <w:t>一、工作目标</w:t>
      </w:r>
    </w:p>
    <w:p w14:paraId="2E7D0EB6">
      <w:pPr>
        <w:rPr>
          <w:rFonts w:hint="eastAsia"/>
          <w:sz w:val="28"/>
          <w:szCs w:val="28"/>
        </w:rPr>
      </w:pPr>
    </w:p>
    <w:p w14:paraId="31C8DBA0">
      <w:pPr>
        <w:rPr>
          <w:rFonts w:hint="eastAsia"/>
          <w:sz w:val="28"/>
          <w:szCs w:val="28"/>
        </w:rPr>
      </w:pPr>
      <w:r>
        <w:rPr>
          <w:rFonts w:hint="eastAsia"/>
          <w:sz w:val="28"/>
          <w:szCs w:val="28"/>
        </w:rPr>
        <w:t>坚持以城乡建设绿色发展为引领，稳步提升建筑能效水平，稳步推动绿色建筑高品质发展。</w:t>
      </w:r>
    </w:p>
    <w:p w14:paraId="306455FC">
      <w:pPr>
        <w:rPr>
          <w:rFonts w:hint="eastAsia"/>
          <w:sz w:val="28"/>
          <w:szCs w:val="28"/>
        </w:rPr>
      </w:pPr>
    </w:p>
    <w:p w14:paraId="4B7F9DAF">
      <w:pPr>
        <w:rPr>
          <w:rFonts w:hint="eastAsia"/>
          <w:sz w:val="28"/>
          <w:szCs w:val="28"/>
        </w:rPr>
      </w:pPr>
      <w:r>
        <w:rPr>
          <w:rFonts w:hint="eastAsia"/>
          <w:sz w:val="28"/>
          <w:szCs w:val="28"/>
        </w:rPr>
        <w:t>（一）力争2024年全市新开工新竣工绿色建筑占新开工新竣工民用建筑面积比例达100%；建筑节能强制性标准执行率100%；星级绿色建筑占比30%以上。</w:t>
      </w:r>
    </w:p>
    <w:p w14:paraId="10B7FB07">
      <w:pPr>
        <w:rPr>
          <w:rFonts w:hint="eastAsia"/>
          <w:sz w:val="28"/>
          <w:szCs w:val="28"/>
        </w:rPr>
      </w:pPr>
    </w:p>
    <w:p w14:paraId="619143F3">
      <w:pPr>
        <w:rPr>
          <w:rFonts w:hint="eastAsia"/>
          <w:sz w:val="28"/>
          <w:szCs w:val="28"/>
        </w:rPr>
      </w:pPr>
      <w:r>
        <w:rPr>
          <w:rFonts w:hint="eastAsia"/>
          <w:sz w:val="28"/>
          <w:szCs w:val="28"/>
        </w:rPr>
        <w:t>（二）中心城区各区至少竣工二星级绿色建筑项目1个，其余各县（市）至少竣工一星级或以上星级绿色建筑项目1个。</w:t>
      </w:r>
    </w:p>
    <w:p w14:paraId="018B4D49">
      <w:pPr>
        <w:rPr>
          <w:rFonts w:hint="eastAsia"/>
          <w:sz w:val="28"/>
          <w:szCs w:val="28"/>
        </w:rPr>
      </w:pPr>
    </w:p>
    <w:p w14:paraId="2361B036">
      <w:pPr>
        <w:rPr>
          <w:rFonts w:hint="eastAsia"/>
          <w:sz w:val="28"/>
          <w:szCs w:val="28"/>
        </w:rPr>
      </w:pPr>
      <w:r>
        <w:rPr>
          <w:rFonts w:hint="eastAsia"/>
          <w:sz w:val="28"/>
          <w:szCs w:val="28"/>
        </w:rPr>
        <w:t>（三）开展超低能耗（近零能耗、低碳）建筑示范项目建设，推进绿色建材应用，推动建筑科技发展。</w:t>
      </w:r>
    </w:p>
    <w:p w14:paraId="1DCE1C36">
      <w:pPr>
        <w:rPr>
          <w:rFonts w:hint="eastAsia"/>
          <w:sz w:val="28"/>
          <w:szCs w:val="28"/>
        </w:rPr>
      </w:pPr>
    </w:p>
    <w:p w14:paraId="6638A3BF">
      <w:pPr>
        <w:rPr>
          <w:rFonts w:hint="eastAsia"/>
          <w:sz w:val="28"/>
          <w:szCs w:val="28"/>
        </w:rPr>
      </w:pPr>
      <w:r>
        <w:rPr>
          <w:rFonts w:hint="eastAsia"/>
          <w:sz w:val="28"/>
          <w:szCs w:val="28"/>
        </w:rPr>
        <w:t>二、重点任务</w:t>
      </w:r>
    </w:p>
    <w:p w14:paraId="7D6B7B98">
      <w:pPr>
        <w:rPr>
          <w:rFonts w:hint="eastAsia"/>
          <w:sz w:val="28"/>
          <w:szCs w:val="28"/>
        </w:rPr>
      </w:pPr>
    </w:p>
    <w:p w14:paraId="0DD49B7A">
      <w:pPr>
        <w:rPr>
          <w:rFonts w:hint="eastAsia"/>
          <w:sz w:val="28"/>
          <w:szCs w:val="28"/>
        </w:rPr>
      </w:pPr>
      <w:r>
        <w:rPr>
          <w:rFonts w:hint="eastAsia"/>
          <w:sz w:val="28"/>
          <w:szCs w:val="28"/>
        </w:rPr>
        <w:t>（一）全面推动绿色建筑高品质发展</w:t>
      </w:r>
    </w:p>
    <w:p w14:paraId="3F63BB93">
      <w:pPr>
        <w:rPr>
          <w:rFonts w:hint="eastAsia"/>
          <w:sz w:val="28"/>
          <w:szCs w:val="28"/>
        </w:rPr>
      </w:pPr>
    </w:p>
    <w:p w14:paraId="75F46F0A">
      <w:pPr>
        <w:rPr>
          <w:rFonts w:hint="eastAsia"/>
          <w:sz w:val="28"/>
          <w:szCs w:val="28"/>
        </w:rPr>
      </w:pPr>
      <w:r>
        <w:rPr>
          <w:rFonts w:hint="eastAsia"/>
          <w:sz w:val="28"/>
          <w:szCs w:val="28"/>
        </w:rPr>
        <w:t>1.严格执行标准要求。各县（市、区）应严格执行住建部、国家发展改革委《城乡建设领域碳达峰实施方案》（建标〔2022〕53号），住建部、应急管理部《关于加强超高层建筑规划建设管理的通知》（建科〔2021〕76号），省住建厅、省发展改革委《江西省城乡建设领域碳达峰实施方案》（赣建科设〔2022〕20号），市住建局、市发展改革委《赣州市城乡建设领域碳达峰实施方案》（赣市建字〔2023〕21号），市机关事务管理中心、市发展改革委、市财政局、市生态局、市住建局《赣州市深入开展公共机构绿色低碳引领行动促进碳达峰实施方案》（赣市管字〔2022〕89号)等文件要求，所有新（改、扩）建建筑全面执行绿色建筑标准，其中：总建筑面积5000平方米及以上的新建民用建筑，按照一星级及以上绿色建筑设计、建设；新建国家机关办公建筑和政府投资的学校、医院、博物馆、科技馆、体育馆、车站、机场等满足社会公众公共需要的公益性建筑以及其他总建筑面积2万平方米及以上的大型公共建筑，按照二星级及以上绿色建筑设计、建设；超高层建筑和各地标志性建筑不得低于三星级绿色建筑标准。鼓励其他建筑项目实施更高星级绿色建筑标准，鼓励结合城市森林花园住宅建设实施星级绿色建筑。返迁安置房以及市政工程中配建的公厕、小商业体、垃圾中转站等配套用房可按基本级标准设计和建设。</w:t>
      </w:r>
    </w:p>
    <w:p w14:paraId="22F0EE20">
      <w:pPr>
        <w:rPr>
          <w:rFonts w:hint="eastAsia"/>
          <w:sz w:val="28"/>
          <w:szCs w:val="28"/>
        </w:rPr>
      </w:pPr>
      <w:bookmarkStart w:id="0" w:name="_GoBack"/>
    </w:p>
    <w:bookmarkEnd w:id="0"/>
    <w:p w14:paraId="47420FC4">
      <w:pPr>
        <w:rPr>
          <w:rFonts w:hint="eastAsia"/>
          <w:sz w:val="28"/>
          <w:szCs w:val="28"/>
        </w:rPr>
      </w:pPr>
      <w:r>
        <w:rPr>
          <w:rFonts w:hint="eastAsia"/>
          <w:sz w:val="28"/>
          <w:szCs w:val="28"/>
        </w:rPr>
        <w:t>2.强化绿建指标落地。各县（市、区）应加大部门协调联动力度，住建部门在参加规委会或其他项目规划条件征求意见时，应要求将绿色建筑相关指标要求纳入规划条件。在土地供应中,将规划设计条件通知书中明确的发展绿色建筑的相关要求纳入供地方案,并落实到用地使用权出让合同中或政府投资项目的初步设计方案中。</w:t>
      </w:r>
    </w:p>
    <w:p w14:paraId="790145F6">
      <w:pPr>
        <w:rPr>
          <w:rFonts w:hint="eastAsia"/>
          <w:sz w:val="28"/>
          <w:szCs w:val="28"/>
        </w:rPr>
      </w:pPr>
    </w:p>
    <w:p w14:paraId="7A558609">
      <w:pPr>
        <w:rPr>
          <w:rFonts w:hint="eastAsia"/>
          <w:sz w:val="28"/>
          <w:szCs w:val="28"/>
        </w:rPr>
      </w:pPr>
      <w:r>
        <w:rPr>
          <w:rFonts w:hint="eastAsia"/>
          <w:sz w:val="28"/>
          <w:szCs w:val="28"/>
        </w:rPr>
        <w:t>3.加强设计审查。各设计单位应按《绿色建筑评价标准》等规范进行施工图设计，施工图设计文件中应有绿色建筑设计专篇，并按相应的评价标准自评分数和标明星级。各施工图审查机构应按要求对施工图设计文件进行审查，经审查达到绿色建筑标准的项目，审查合格证书中应注明绿色建筑的星级。</w:t>
      </w:r>
    </w:p>
    <w:p w14:paraId="75DFE3BB">
      <w:pPr>
        <w:rPr>
          <w:rFonts w:hint="eastAsia"/>
          <w:sz w:val="28"/>
          <w:szCs w:val="28"/>
        </w:rPr>
      </w:pPr>
    </w:p>
    <w:p w14:paraId="43B65A2C">
      <w:pPr>
        <w:rPr>
          <w:rFonts w:hint="eastAsia"/>
          <w:sz w:val="28"/>
          <w:szCs w:val="28"/>
        </w:rPr>
      </w:pPr>
      <w:r>
        <w:rPr>
          <w:rFonts w:hint="eastAsia"/>
          <w:sz w:val="28"/>
          <w:szCs w:val="28"/>
        </w:rPr>
        <w:t>4.严格施工许可。各县（市、区）住建部门应协调同级审批部门在核发施工许可证时，对是否满足施工需要的施工图纸及技术资料进行复核，尤其对是否符合绿色建筑要求的等级，进行复核。对于未按要求进行设计的项目，要求建设单位、设计单位进行变更重新图审。</w:t>
      </w:r>
    </w:p>
    <w:p w14:paraId="1ED1C5AD">
      <w:pPr>
        <w:rPr>
          <w:rFonts w:hint="eastAsia"/>
          <w:sz w:val="28"/>
          <w:szCs w:val="28"/>
        </w:rPr>
      </w:pPr>
    </w:p>
    <w:p w14:paraId="3B206A01">
      <w:pPr>
        <w:rPr>
          <w:rFonts w:hint="eastAsia"/>
          <w:sz w:val="28"/>
          <w:szCs w:val="28"/>
        </w:rPr>
      </w:pPr>
      <w:r>
        <w:rPr>
          <w:rFonts w:hint="eastAsia"/>
          <w:sz w:val="28"/>
          <w:szCs w:val="28"/>
        </w:rPr>
        <w:t>5.强化监督检查。各县（市、区）住建部门要加强绿色建筑项目建设过程中的监督检查，对建设项目是否符合施工图设计文件及绿色建筑标准进行查验；施工单位擅自变更绿色建筑相关设计指标的，应根据《建设工程质量管理条例》第六十四条规定，责令改正并处以罚款。对不满足施工图设计文件中绿色建筑要求的项目，不得通过工程竣工验收。市局将继续开展年度“双随机、一公开”检查，及时通报检查中发现的违法违规问题，并依法依规给予行政处罚，纳入“黑名单”制度管理。</w:t>
      </w:r>
    </w:p>
    <w:p w14:paraId="1B6F2AD9">
      <w:pPr>
        <w:rPr>
          <w:rFonts w:hint="eastAsia"/>
          <w:sz w:val="28"/>
          <w:szCs w:val="28"/>
        </w:rPr>
      </w:pPr>
    </w:p>
    <w:p w14:paraId="7AEEB2C1">
      <w:pPr>
        <w:rPr>
          <w:rFonts w:hint="eastAsia"/>
          <w:sz w:val="28"/>
          <w:szCs w:val="28"/>
        </w:rPr>
      </w:pPr>
      <w:r>
        <w:rPr>
          <w:rFonts w:hint="eastAsia"/>
          <w:sz w:val="28"/>
          <w:szCs w:val="28"/>
        </w:rPr>
        <w:t>6.规范标识申报。为保证绿色建筑措施落地，执行星级绿色建筑标准的项目应开展预评价，在完成竣工备案后,应按照《绿色建筑评价标准》(GB/T50378)等相关标准进行运营管理,及时开展绿色建筑标识申报。申报应由项目建设单位、运营单位或业主单位提出,鼓励设计、施工和咨询等相关单位共同参与申报。申报单位在申报时应承诺每年上报主要绿色性能指标运行数据。</w:t>
      </w:r>
    </w:p>
    <w:p w14:paraId="02DE4144">
      <w:pPr>
        <w:rPr>
          <w:rFonts w:hint="eastAsia"/>
          <w:sz w:val="28"/>
          <w:szCs w:val="28"/>
        </w:rPr>
      </w:pPr>
    </w:p>
    <w:p w14:paraId="7A1ABC3B">
      <w:pPr>
        <w:rPr>
          <w:rFonts w:hint="eastAsia"/>
          <w:sz w:val="28"/>
          <w:szCs w:val="28"/>
        </w:rPr>
      </w:pPr>
      <w:r>
        <w:rPr>
          <w:rFonts w:hint="eastAsia"/>
          <w:sz w:val="28"/>
          <w:szCs w:val="28"/>
        </w:rPr>
        <w:t>7.提升绿运营水平。各县（市、区）住建部门应认真督促指导获得绿色建筑标识的项目运营单位或业主,加强绿色建筑运行管理,每年将年度运行主要指标上报绿色建筑标识管理系统,提高绿色建筑设施、设备运行效率,并将绿色建筑日常运行要求纳入物业管理内容。</w:t>
      </w:r>
    </w:p>
    <w:p w14:paraId="4F7573D3">
      <w:pPr>
        <w:rPr>
          <w:rFonts w:hint="eastAsia"/>
          <w:sz w:val="28"/>
          <w:szCs w:val="28"/>
        </w:rPr>
      </w:pPr>
    </w:p>
    <w:p w14:paraId="7427D364">
      <w:pPr>
        <w:rPr>
          <w:rFonts w:hint="eastAsia"/>
          <w:sz w:val="28"/>
          <w:szCs w:val="28"/>
        </w:rPr>
      </w:pPr>
      <w:r>
        <w:rPr>
          <w:rFonts w:hint="eastAsia"/>
          <w:sz w:val="28"/>
          <w:szCs w:val="28"/>
        </w:rPr>
        <w:t>（二）全面提升建筑能效水平</w:t>
      </w:r>
    </w:p>
    <w:p w14:paraId="7424F1CC">
      <w:pPr>
        <w:rPr>
          <w:rFonts w:hint="eastAsia"/>
          <w:sz w:val="28"/>
          <w:szCs w:val="28"/>
        </w:rPr>
      </w:pPr>
    </w:p>
    <w:p w14:paraId="5A293DF6">
      <w:pPr>
        <w:rPr>
          <w:rFonts w:hint="eastAsia"/>
          <w:sz w:val="28"/>
          <w:szCs w:val="28"/>
        </w:rPr>
      </w:pPr>
      <w:r>
        <w:rPr>
          <w:rFonts w:hint="eastAsia"/>
          <w:sz w:val="28"/>
          <w:szCs w:val="28"/>
        </w:rPr>
        <w:t>8.强化节能标准落实。认真落实新建建筑全面执行65%节能设计标准，持续强化建设、设计、图审、施工、监理、检测等参加单位的主体责任，加强实施过程监管，确保建筑节能强制性标准各项要求落地落实。鼓励实施超低能耗建筑项目。</w:t>
      </w:r>
    </w:p>
    <w:p w14:paraId="627B8775">
      <w:pPr>
        <w:rPr>
          <w:rFonts w:hint="eastAsia"/>
          <w:sz w:val="28"/>
          <w:szCs w:val="28"/>
        </w:rPr>
      </w:pPr>
    </w:p>
    <w:p w14:paraId="138BE29C">
      <w:pPr>
        <w:rPr>
          <w:rFonts w:hint="eastAsia"/>
          <w:sz w:val="28"/>
          <w:szCs w:val="28"/>
        </w:rPr>
      </w:pPr>
      <w:r>
        <w:rPr>
          <w:rFonts w:hint="eastAsia"/>
          <w:sz w:val="28"/>
          <w:szCs w:val="28"/>
        </w:rPr>
        <w:t>9.推动既有建筑节能改造。各县（市、区）要逐步推进既有建筑翻新改造、装修实施节能改造，协调同级机关事务管理部门，联合推动既有办公建筑节能改造，推进建筑能耗及碳排放数据监测平台建设，力争完成“十四五”省住建厅下达的节能改造任务。</w:t>
      </w:r>
    </w:p>
    <w:p w14:paraId="78CE35EC">
      <w:pPr>
        <w:rPr>
          <w:rFonts w:hint="eastAsia"/>
          <w:sz w:val="28"/>
          <w:szCs w:val="28"/>
        </w:rPr>
      </w:pPr>
    </w:p>
    <w:p w14:paraId="06A905C5">
      <w:pPr>
        <w:rPr>
          <w:rFonts w:hint="eastAsia"/>
          <w:sz w:val="28"/>
          <w:szCs w:val="28"/>
        </w:rPr>
      </w:pPr>
      <w:r>
        <w:rPr>
          <w:rFonts w:hint="eastAsia"/>
          <w:sz w:val="28"/>
          <w:szCs w:val="28"/>
        </w:rPr>
        <w:t>10.可再生能源建筑应用。各县（市、区）要因地制宜，积极推进太阳能、空气能、地热能等可再生能源建筑应用。加大光伏建筑应用力度，逐步提高新建公共建筑、工业厂房屋顶太阳能光伏应用水平。探索“光储直柔”光储充技术等新型能源建筑应用。</w:t>
      </w:r>
    </w:p>
    <w:p w14:paraId="598FA173">
      <w:pPr>
        <w:rPr>
          <w:rFonts w:hint="eastAsia"/>
          <w:sz w:val="28"/>
          <w:szCs w:val="28"/>
        </w:rPr>
      </w:pPr>
    </w:p>
    <w:p w14:paraId="4B5BA636">
      <w:pPr>
        <w:rPr>
          <w:rFonts w:hint="eastAsia"/>
          <w:sz w:val="28"/>
          <w:szCs w:val="28"/>
        </w:rPr>
      </w:pPr>
      <w:r>
        <w:rPr>
          <w:rFonts w:hint="eastAsia"/>
          <w:sz w:val="28"/>
          <w:szCs w:val="28"/>
        </w:rPr>
        <w:t>（三）积极推广绿色建材</w:t>
      </w:r>
    </w:p>
    <w:p w14:paraId="05085446">
      <w:pPr>
        <w:rPr>
          <w:rFonts w:hint="eastAsia"/>
          <w:sz w:val="28"/>
          <w:szCs w:val="28"/>
        </w:rPr>
      </w:pPr>
    </w:p>
    <w:p w14:paraId="52CDB064">
      <w:pPr>
        <w:rPr>
          <w:rFonts w:hint="eastAsia"/>
          <w:sz w:val="28"/>
          <w:szCs w:val="28"/>
        </w:rPr>
      </w:pPr>
      <w:r>
        <w:rPr>
          <w:rFonts w:hint="eastAsia"/>
          <w:sz w:val="28"/>
          <w:szCs w:val="28"/>
        </w:rPr>
        <w:t>11.积极推广绿色建材应用。配合工信部门推动我市建材企业积极开展绿色建材评价认证和绿色建材产品目录推广工作。加大政府采购支持绿色建材应用力度。</w:t>
      </w:r>
    </w:p>
    <w:p w14:paraId="5786AE43">
      <w:pPr>
        <w:rPr>
          <w:rFonts w:hint="eastAsia"/>
          <w:sz w:val="28"/>
          <w:szCs w:val="28"/>
        </w:rPr>
      </w:pPr>
    </w:p>
    <w:p w14:paraId="407DF2A5">
      <w:pPr>
        <w:rPr>
          <w:rFonts w:hint="eastAsia"/>
          <w:sz w:val="28"/>
          <w:szCs w:val="28"/>
        </w:rPr>
      </w:pPr>
      <w:r>
        <w:rPr>
          <w:rFonts w:hint="eastAsia"/>
          <w:sz w:val="28"/>
          <w:szCs w:val="28"/>
        </w:rPr>
        <w:t>（四）推动行业科技发展</w:t>
      </w:r>
    </w:p>
    <w:p w14:paraId="0457F0FF">
      <w:pPr>
        <w:rPr>
          <w:rFonts w:hint="eastAsia"/>
          <w:sz w:val="28"/>
          <w:szCs w:val="28"/>
        </w:rPr>
      </w:pPr>
    </w:p>
    <w:p w14:paraId="59AE5A94">
      <w:pPr>
        <w:rPr>
          <w:sz w:val="28"/>
          <w:szCs w:val="28"/>
        </w:rPr>
      </w:pPr>
      <w:r>
        <w:rPr>
          <w:rFonts w:hint="eastAsia"/>
          <w:sz w:val="28"/>
          <w:szCs w:val="28"/>
        </w:rPr>
        <w:t>12.支持引导行业科技进步。支持企业申报各级城乡建设领域科技项目并做好服务，鼓励引导企业开展城乡建设领域科技相关课题研究，支持开展工程实践创新、总结和申报国家或省级各类示范工程，推进科技成果有效转化。积极推动建筑信息模型技术（BIM）技术应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311F0"/>
    <w:rsid w:val="5F9311F0"/>
    <w:rsid w:val="6CC54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2026-03-24T11:27:00Z</dcterms:created>
  <dc:creator>℡</dc:creator>
  <cp:lastModifiedBy>℡</cp:lastModifiedBy>
  <dcterms:modified xsi:type="dcterms:W3CDTF">2026-03-24T11:31:00Z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9F8581A4F2264237AF75568529C8F9C5_11</vt:lpwstr>
  </property>
  <property fmtid="{D5CDD505-2E9C-101B-9397-08002B2CF9AE}" pid="4" name="KSOTemplateDocerSaveRecord">
    <vt:lpwstr>eyJoZGlkIjoiZDNhZDExYmNlMTY4ZTE5OGNkNDIzYzk2ODI4YTFiODMiLCJ1c2VySWQiOiIxMTY3MDgwMjkxIn0=</vt:lpwstr>
  </property>
</Properties>
</file>