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spacing w:line="240" w:lineRule="exact"/>
        <w:rPr>
          <w:b/>
          <w:sz w:val="21"/>
          <w:szCs w:val="21"/>
        </w:rPr>
      </w:pPr>
      <w:bookmarkStart w:id="82" w:name="_GoBack"/>
      <w:bookmarkEnd w:id="82"/>
    </w:p>
    <w:p>
      <w:pPr>
        <w:pStyle w:val="50"/>
        <w:spacing w:line="240" w:lineRule="exact"/>
        <w:rPr>
          <w:b/>
          <w:sz w:val="21"/>
          <w:szCs w:val="21"/>
        </w:rPr>
      </w:pPr>
    </w:p>
    <w:p>
      <w:pPr>
        <w:pStyle w:val="50"/>
        <w:spacing w:line="240" w:lineRule="exact"/>
        <w:rPr>
          <w:b/>
          <w:sz w:val="21"/>
          <w:szCs w:val="21"/>
        </w:rPr>
      </w:pPr>
    </w:p>
    <w:p>
      <w:pPr>
        <w:pStyle w:val="50"/>
        <w:ind w:right="-57" w:rightChars="-27"/>
        <w:jc w:val="distribute"/>
        <w:rPr>
          <w:b/>
          <w:sz w:val="72"/>
          <w:szCs w:val="72"/>
        </w:rPr>
      </w:pPr>
      <w:r>
        <w:rPr>
          <w:rFonts w:hint="eastAsia"/>
          <w:b/>
          <w:sz w:val="72"/>
          <w:szCs w:val="72"/>
        </w:rPr>
        <w:t>室内热湿环境评价</w:t>
      </w:r>
    </w:p>
    <w:p>
      <w:pPr>
        <w:pStyle w:val="54"/>
        <w:rPr>
          <w:sz w:val="52"/>
          <w:szCs w:val="52"/>
        </w:rPr>
      </w:pPr>
      <w:bookmarkStart w:id="0" w:name="建筑类别"/>
      <w:r>
        <w:rPr>
          <w:rFonts w:hint="eastAsia"/>
          <w:sz w:val="52"/>
          <w:szCs w:val="52"/>
        </w:rPr>
        <w:t>公共建筑</w:t>
      </w:r>
    </w:p>
    <w:p>
      <w:pPr>
        <w:pStyle w:val="54"/>
        <w:spacing w:line="400" w:lineRule="exact"/>
      </w:pPr>
    </w:p>
    <w:p>
      <w:pPr>
        <w:pStyle w:val="54"/>
        <w:rPr>
          <w:sz w:val="36"/>
          <w:szCs w:val="36"/>
        </w:rPr>
      </w:pPr>
      <w:bookmarkStart w:id="1" w:name="项目名称"/>
      <w:r>
        <w:rPr>
          <w:rFonts w:hint="eastAsia"/>
          <w:sz w:val="36"/>
          <w:szCs w:val="36"/>
        </w:rPr>
        <w:t>织暖寺村·青筑含荫-基于绿色建筑技术融合乡境共生下的党群服务中心建筑设计</w:t>
      </w:r>
    </w:p>
    <w:p>
      <w:pPr>
        <w:pStyle w:val="54"/>
        <w:rPr>
          <w:b/>
        </w:rPr>
      </w:pPr>
      <w:r>
        <w:rPr>
          <w:rFonts w:hint="eastAsia"/>
          <w:b/>
        </w:rPr>
        <w:t>设计编号：</w:t>
      </w:r>
      <w:bookmarkStart w:id="2" w:name="设计编号"/>
    </w:p>
    <w:p>
      <w:pPr>
        <w:pStyle w:val="54"/>
        <w:rPr>
          <w:b/>
        </w:rPr>
      </w:pPr>
    </w:p>
    <w:p>
      <w:pPr>
        <w:pStyle w:val="50"/>
        <w:jc w:val="center"/>
        <w:rPr>
          <w:sz w:val="21"/>
          <w:szCs w:val="21"/>
        </w:rPr>
      </w:pPr>
      <w:bookmarkStart w:id="3" w:name="二维码"/>
      <w:r>
        <w:drawing>
          <wp:inline distT="0" distB="0" distL="0" distR="0">
            <wp:extent cx="1314450" cy="13144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pPr>
        <w:pStyle w:val="50"/>
        <w:jc w:val="center"/>
        <w:rPr>
          <w:sz w:val="21"/>
          <w:szCs w:val="21"/>
        </w:rPr>
      </w:pPr>
    </w:p>
    <w:p>
      <w:pPr>
        <w:pStyle w:val="50"/>
        <w:spacing w:line="240" w:lineRule="exact"/>
        <w:rPr>
          <w:sz w:val="21"/>
          <w:szCs w:val="21"/>
        </w:rPr>
      </w:pPr>
    </w:p>
    <w:p>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工程地点</w:t>
            </w:r>
          </w:p>
        </w:tc>
        <w:tc>
          <w:tcPr>
            <w:tcW w:w="475" w:type="dxa"/>
            <w:vAlign w:val="center"/>
          </w:tcPr>
          <w:p>
            <w:pPr>
              <w:pStyle w:val="50"/>
              <w:spacing w:line="600" w:lineRule="exact"/>
              <w:ind w:right="-31" w:rightChars="-15"/>
              <w:jc w:val="center"/>
            </w:pPr>
            <w:r>
              <w:rPr>
                <w:rFonts w:hint="eastAsia"/>
              </w:rPr>
              <w:t>：</w:t>
            </w:r>
          </w:p>
        </w:tc>
        <w:tc>
          <w:tcPr>
            <w:tcW w:w="4624" w:type="dxa"/>
            <w:tcBorders>
              <w:bottom w:val="single" w:color="auto" w:sz="4" w:space="0"/>
            </w:tcBorders>
            <w:vAlign w:val="center"/>
          </w:tcPr>
          <w:p>
            <w:pPr>
              <w:pStyle w:val="50"/>
              <w:spacing w:line="600" w:lineRule="exact"/>
              <w:jc w:val="center"/>
            </w:pPr>
            <w:bookmarkStart w:id="4" w:name="工程地点"/>
            <w:bookmarkStart w:id="5" w:name="项目地点"/>
            <w:r>
              <w:t>河南-南阳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建设单位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6"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7" w:name="设计单位"/>
            <w:r>
              <w:t>南阳师范学院土木建筑工程学院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校对人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审定人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报告日期</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8" w:name="报告日期"/>
            <w:r>
              <w:t>2025年12月30日</w:t>
            </w:r>
          </w:p>
        </w:tc>
      </w:tr>
    </w:tbl>
    <w:p>
      <w:pPr>
        <w:spacing w:line="240" w:lineRule="exact"/>
      </w:pPr>
    </w:p>
    <w:p>
      <w:pPr>
        <w:pStyle w:val="52"/>
        <w:rPr>
          <w:sz w:val="21"/>
        </w:rPr>
      </w:pPr>
    </w:p>
    <w:p>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2"/>
              <w:rPr>
                <w:szCs w:val="18"/>
              </w:rPr>
            </w:pPr>
            <w:r>
              <w:rPr>
                <w:rFonts w:hint="eastAsia"/>
                <w:szCs w:val="18"/>
              </w:rPr>
              <w:t xml:space="preserve">: </w:t>
            </w:r>
            <w:bookmarkStart w:id="11" w:name="加密锁号"/>
            <w:r>
              <w:rPr>
                <w:rFonts w:hint="eastAsia"/>
                <w:szCs w:val="18"/>
              </w:rPr>
              <w:t>T17838957255</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sz w:val="32"/>
          <w:szCs w:val="32"/>
          <w:lang w:val="en-US"/>
        </w:rPr>
      </w:pPr>
      <w:r>
        <w:rPr>
          <w:lang w:val="en-US"/>
        </w:rPr>
        <w:br w:type="page"/>
      </w:r>
      <w:r>
        <w:rPr>
          <w:rFonts w:hint="eastAsia"/>
          <w:b/>
          <w:sz w:val="32"/>
          <w:szCs w:val="32"/>
          <w:lang w:val="en-US"/>
        </w:rPr>
        <w:t>目 录</w:t>
      </w:r>
    </w:p>
    <w:p>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_Toc10182 </w:instrText>
      </w:r>
      <w:r>
        <w:rPr>
          <w:szCs w:val="32"/>
        </w:rPr>
        <w:fldChar w:fldCharType="separate"/>
      </w:r>
      <w:r>
        <w:rPr>
          <w:rFonts w:hint="eastAsia"/>
        </w:rPr>
        <w:t>1 项目概况</w:t>
      </w:r>
      <w:r>
        <w:tab/>
      </w:r>
      <w:r>
        <w:fldChar w:fldCharType="begin"/>
      </w:r>
      <w:r>
        <w:instrText xml:space="preserve"> PAGEREF _Toc10182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_Toc21663 </w:instrText>
      </w:r>
      <w:r>
        <w:rPr>
          <w:szCs w:val="32"/>
        </w:rPr>
        <w:fldChar w:fldCharType="separate"/>
      </w:r>
      <w:r>
        <w:rPr>
          <w:rFonts w:hint="eastAsia"/>
          <w:lang w:val="en-GB"/>
        </w:rPr>
        <w:t xml:space="preserve">1.1 </w:t>
      </w:r>
      <w:r>
        <w:t>平面图</w:t>
      </w:r>
      <w:r>
        <w:tab/>
      </w:r>
      <w:r>
        <w:fldChar w:fldCharType="begin"/>
      </w:r>
      <w:r>
        <w:instrText xml:space="preserve"> PAGEREF _Toc21663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_Toc27348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_Toc27348 </w:instrText>
      </w:r>
      <w:r>
        <w:fldChar w:fldCharType="separate"/>
      </w:r>
      <w:r>
        <w:t>6</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_Toc1575 </w:instrText>
      </w:r>
      <w:r>
        <w:rPr>
          <w:szCs w:val="32"/>
        </w:rPr>
        <w:fldChar w:fldCharType="separate"/>
      </w:r>
      <w:r>
        <w:rPr>
          <w:rFonts w:hint="eastAsia"/>
        </w:rPr>
        <w:t>2 计算</w:t>
      </w:r>
      <w:r>
        <w:t>依据</w:t>
      </w:r>
      <w:r>
        <w:tab/>
      </w:r>
      <w:r>
        <w:fldChar w:fldCharType="begin"/>
      </w:r>
      <w:r>
        <w:instrText xml:space="preserve"> PAGEREF _Toc1575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_Toc15817 </w:instrText>
      </w:r>
      <w:r>
        <w:rPr>
          <w:szCs w:val="32"/>
        </w:rPr>
        <w:fldChar w:fldCharType="separate"/>
      </w:r>
      <w:r>
        <w:rPr>
          <w:rFonts w:hint="eastAsia"/>
        </w:rPr>
        <w:t>3 参考</w:t>
      </w:r>
      <w:r>
        <w:t>标准</w:t>
      </w:r>
      <w:r>
        <w:tab/>
      </w:r>
      <w:r>
        <w:fldChar w:fldCharType="begin"/>
      </w:r>
      <w:r>
        <w:instrText xml:space="preserve"> PAGEREF _Toc15817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_Toc20421 </w:instrText>
      </w:r>
      <w:r>
        <w:rPr>
          <w:szCs w:val="32"/>
        </w:rPr>
        <w:fldChar w:fldCharType="separate"/>
      </w:r>
      <w:r>
        <w:rPr>
          <w:rFonts w:hint="eastAsia"/>
        </w:rPr>
        <w:t>4 计算方法</w:t>
      </w:r>
      <w:r>
        <w:tab/>
      </w:r>
      <w:r>
        <w:fldChar w:fldCharType="begin"/>
      </w:r>
      <w:r>
        <w:instrText xml:space="preserve"> PAGEREF _Toc20421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_Toc11801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_Toc11801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_Toc22902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_Toc22902 </w:instrText>
      </w:r>
      <w:r>
        <w:fldChar w:fldCharType="separate"/>
      </w:r>
      <w:r>
        <w:t>9</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_Toc15040 </w:instrText>
      </w:r>
      <w:r>
        <w:rPr>
          <w:szCs w:val="32"/>
        </w:rPr>
        <w:fldChar w:fldCharType="separate"/>
      </w:r>
      <w:r>
        <w:rPr>
          <w:rFonts w:hint="eastAsia"/>
        </w:rPr>
        <w:t>5 结果</w:t>
      </w:r>
      <w:r>
        <w:t>分析</w:t>
      </w:r>
      <w:r>
        <w:tab/>
      </w:r>
      <w:r>
        <w:fldChar w:fldCharType="begin"/>
      </w:r>
      <w:r>
        <w:instrText xml:space="preserve"> PAGEREF _Toc15040 </w:instrText>
      </w:r>
      <w:r>
        <w:fldChar w:fldCharType="separate"/>
      </w:r>
      <w:r>
        <w:t>11</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_Toc2420 </w:instrText>
      </w:r>
      <w:r>
        <w:rPr>
          <w:szCs w:val="32"/>
        </w:rPr>
        <w:fldChar w:fldCharType="separate"/>
      </w:r>
      <w:r>
        <w:rPr>
          <w:rFonts w:hint="eastAsia"/>
          <w:lang w:val="en-GB"/>
        </w:rPr>
        <w:t xml:space="preserve">5.1 </w:t>
      </w:r>
      <w:r>
        <w:t>2层分析图</w:t>
      </w:r>
      <w:r>
        <w:tab/>
      </w:r>
      <w:r>
        <w:fldChar w:fldCharType="begin"/>
      </w:r>
      <w:r>
        <w:instrText xml:space="preserve"> PAGEREF _Toc2420 </w:instrText>
      </w:r>
      <w:r>
        <w:fldChar w:fldCharType="separate"/>
      </w:r>
      <w:r>
        <w:t>12</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_Toc12177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_Toc12177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_Toc2235 </w:instrText>
      </w:r>
      <w:r>
        <w:rPr>
          <w:szCs w:val="32"/>
        </w:rPr>
        <w:fldChar w:fldCharType="separate"/>
      </w:r>
      <w:r>
        <w:rPr>
          <w:rFonts w:hint="eastAsia"/>
        </w:rPr>
        <w:t>6 结论</w:t>
      </w:r>
      <w:r>
        <w:tab/>
      </w:r>
      <w:r>
        <w:fldChar w:fldCharType="begin"/>
      </w:r>
      <w:r>
        <w:instrText xml:space="preserve"> PAGEREF _Toc2235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_Toc21548 </w:instrText>
      </w:r>
      <w:r>
        <w:rPr>
          <w:szCs w:val="32"/>
        </w:rPr>
        <w:fldChar w:fldCharType="separate"/>
      </w:r>
      <w:r>
        <w:rPr>
          <w:rFonts w:hint="eastAsia"/>
        </w:rPr>
        <w:t>7 附录：</w:t>
      </w:r>
      <w:r>
        <w:t>房间分析</w:t>
      </w:r>
      <w:r>
        <w:rPr>
          <w:rFonts w:hint="eastAsia"/>
        </w:rPr>
        <w:t>图</w:t>
      </w:r>
      <w:r>
        <w:tab/>
      </w:r>
      <w:r>
        <w:fldChar w:fldCharType="begin"/>
      </w:r>
      <w:r>
        <w:instrText xml:space="preserve"> PAGEREF _Toc21548 </w:instrText>
      </w:r>
      <w:r>
        <w:fldChar w:fldCharType="separate"/>
      </w:r>
      <w:r>
        <w:t>15</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_Toc183 </w:instrText>
      </w:r>
      <w:r>
        <w:rPr>
          <w:szCs w:val="32"/>
        </w:rPr>
        <w:fldChar w:fldCharType="separate"/>
      </w:r>
      <w:r>
        <w:rPr>
          <w:rFonts w:hint="eastAsia"/>
          <w:lang w:val="en-GB"/>
        </w:rPr>
        <w:t xml:space="preserve">7.1 </w:t>
      </w:r>
      <w:r>
        <w:t>2004[报告厅]</w:t>
      </w:r>
      <w:r>
        <w:tab/>
      </w:r>
      <w:r>
        <w:fldChar w:fldCharType="begin"/>
      </w:r>
      <w:r>
        <w:instrText xml:space="preserve"> PAGEREF _Toc183 </w:instrText>
      </w:r>
      <w:r>
        <w:fldChar w:fldCharType="separate"/>
      </w:r>
      <w:r>
        <w:t>15</w:t>
      </w:r>
      <w:r>
        <w:fldChar w:fldCharType="end"/>
      </w:r>
      <w:r>
        <w:rPr>
          <w:szCs w:val="32"/>
        </w:rPr>
        <w:fldChar w:fldCharType="end"/>
      </w:r>
    </w:p>
    <w:p>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pPr>
        <w:pStyle w:val="2"/>
        <w:spacing w:before="312"/>
      </w:pPr>
      <w:bookmarkStart w:id="13" w:name="_Toc13735908"/>
      <w:bookmarkStart w:id="14" w:name="_Toc452108759"/>
      <w:bookmarkStart w:id="15" w:name="_Toc10182"/>
      <w:r>
        <w:rPr>
          <w:rFonts w:hint="eastAsia"/>
        </w:rPr>
        <w:t>项目概况</w:t>
      </w:r>
      <w:bookmarkEnd w:id="13"/>
      <w:bookmarkEnd w:id="14"/>
      <w:bookmarkEnd w:id="15"/>
    </w:p>
    <w:p>
      <w:pPr>
        <w:pStyle w:val="3"/>
        <w:ind w:firstLine="420"/>
        <w:rPr>
          <w:rFonts w:ascii="微软雅黑" w:hAnsi="微软雅黑" w:eastAsia="微软雅黑"/>
          <w:lang w:val="en-US"/>
        </w:rPr>
      </w:pPr>
      <w:bookmarkStart w:id="16" w:name="项目概况"/>
      <w:bookmarkEnd w:id="16"/>
    </w:p>
    <w:p>
      <w:pPr>
        <w:pStyle w:val="3"/>
        <w:ind w:firstLine="420"/>
        <w:rPr>
          <w:rFonts w:ascii="微软雅黑" w:hAnsi="微软雅黑" w:eastAsia="微软雅黑"/>
          <w:lang w:val="en-US"/>
        </w:rPr>
      </w:pPr>
    </w:p>
    <w:p>
      <w:pPr>
        <w:pStyle w:val="4"/>
        <w:spacing w:before="156"/>
      </w:pPr>
      <w:bookmarkStart w:id="17" w:name="_Toc452108760"/>
      <w:bookmarkStart w:id="18" w:name="_Toc13735909"/>
      <w:bookmarkStart w:id="19" w:name="_Toc21663"/>
      <w:bookmarkStart w:id="20" w:name="平面图2"/>
      <w:r>
        <w:t>平面图</w:t>
      </w:r>
      <w:bookmarkEnd w:id="17"/>
      <w:bookmarkEnd w:id="18"/>
      <w:bookmarkEnd w:id="19"/>
    </w:p>
    <w:p>
      <w:pPr>
        <w:jc w:val="center"/>
      </w:pPr>
      <w:bookmarkStart w:id="21" w:name="平面图"/>
      <w:bookmarkEnd w:id="21"/>
      <w:r>
        <w:drawing>
          <wp:inline distT="0" distB="0" distL="0" distR="0">
            <wp:extent cx="5667375" cy="6381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6381750"/>
                    </a:xfrm>
                    <a:prstGeom prst="rect">
                      <a:avLst/>
                    </a:prstGeom>
                  </pic:spPr>
                </pic:pic>
              </a:graphicData>
            </a:graphic>
          </wp:inline>
        </w:drawing>
      </w:r>
    </w:p>
    <w:p>
      <w:pPr>
        <w:jc w:val="center"/>
      </w:pPr>
      <w:r>
        <w:t>1层平面</w:t>
      </w:r>
    </w:p>
    <w:p>
      <w:pPr>
        <w:jc w:val="center"/>
      </w:pPr>
      <w:r>
        <w:drawing>
          <wp:inline distT="0" distB="0" distL="0" distR="0">
            <wp:extent cx="5667375" cy="65532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6553200"/>
                    </a:xfrm>
                    <a:prstGeom prst="rect">
                      <a:avLst/>
                    </a:prstGeom>
                  </pic:spPr>
                </pic:pic>
              </a:graphicData>
            </a:graphic>
          </wp:inline>
        </w:drawing>
      </w:r>
    </w:p>
    <w:p>
      <w:pPr>
        <w:jc w:val="center"/>
      </w:pPr>
      <w:r>
        <w:t>2-A层平面</w:t>
      </w:r>
    </w:p>
    <w:p>
      <w:pPr>
        <w:jc w:val="center"/>
      </w:pPr>
      <w:r>
        <w:drawing>
          <wp:inline distT="0" distB="0" distL="0" distR="0">
            <wp:extent cx="5667375" cy="65246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6524625"/>
                    </a:xfrm>
                    <a:prstGeom prst="rect">
                      <a:avLst/>
                    </a:prstGeom>
                  </pic:spPr>
                </pic:pic>
              </a:graphicData>
            </a:graphic>
          </wp:inline>
        </w:drawing>
      </w:r>
    </w:p>
    <w:p>
      <w:pPr>
        <w:jc w:val="center"/>
      </w:pPr>
      <w:r>
        <w:t>2-b层平面</w:t>
      </w:r>
    </w:p>
    <w:p>
      <w:pPr>
        <w:jc w:val="center"/>
      </w:pPr>
    </w:p>
    <w:bookmarkEnd w:id="20"/>
    <w:p>
      <w:pPr>
        <w:pStyle w:val="3"/>
        <w:ind w:firstLine="0" w:firstLineChars="0"/>
        <w:jc w:val="center"/>
        <w:rPr>
          <w:rFonts w:ascii="微软雅黑" w:hAnsi="微软雅黑" w:eastAsia="微软雅黑"/>
          <w:lang w:val="en-US"/>
        </w:rPr>
      </w:pPr>
    </w:p>
    <w:p>
      <w:pPr>
        <w:pStyle w:val="4"/>
        <w:spacing w:before="156"/>
      </w:pPr>
      <w:bookmarkStart w:id="22" w:name="_Toc452108761"/>
      <w:bookmarkStart w:id="23" w:name="_Toc13735910"/>
      <w:bookmarkStart w:id="24" w:name="_Toc27348"/>
      <w:r>
        <w:rPr>
          <w:rFonts w:hint="eastAsia"/>
        </w:rPr>
        <w:t>三</w:t>
      </w:r>
      <w:r>
        <w:t>维视图</w:t>
      </w:r>
      <w:bookmarkEnd w:id="22"/>
      <w:bookmarkEnd w:id="23"/>
      <w:bookmarkEnd w:id="24"/>
    </w:p>
    <w:p>
      <w:pPr>
        <w:jc w:val="center"/>
      </w:pPr>
      <w:bookmarkStart w:id="25" w:name="三维视图"/>
      <w:bookmarkStart w:id="26" w:name="模型观察"/>
      <w:r>
        <w:t>请先在【模型观察】命令中保存图片</w:t>
      </w:r>
      <w:bookmarkEnd w:id="25"/>
      <w:bookmarkEnd w:id="26"/>
    </w:p>
    <w:p/>
    <w:p>
      <w:pPr>
        <w:pStyle w:val="2"/>
        <w:spacing w:before="312"/>
      </w:pPr>
      <w:bookmarkStart w:id="27" w:name="_Toc452108762"/>
      <w:bookmarkStart w:id="28" w:name="_Toc13735911"/>
      <w:bookmarkStart w:id="29" w:name="TitleFormat"/>
      <w:bookmarkStart w:id="30" w:name="_Toc1575"/>
      <w:r>
        <w:rPr>
          <w:rFonts w:hint="eastAsia"/>
        </w:rPr>
        <w:t>计算</w:t>
      </w:r>
      <w:r>
        <w:t>依据</w:t>
      </w:r>
      <w:bookmarkEnd w:id="27"/>
      <w:bookmarkEnd w:id="28"/>
      <w:bookmarkEnd w:id="29"/>
      <w:bookmarkEnd w:id="30"/>
    </w:p>
    <w:p>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pPr>
        <w:pStyle w:val="2"/>
        <w:spacing w:before="312"/>
      </w:pPr>
      <w:bookmarkStart w:id="35" w:name="_Toc13735912"/>
      <w:bookmarkStart w:id="36" w:name="_Toc15817"/>
      <w:r>
        <w:rPr>
          <w:rFonts w:hint="eastAsia"/>
        </w:rPr>
        <w:t>参考</w:t>
      </w:r>
      <w:r>
        <w:t>标准</w:t>
      </w:r>
      <w:bookmarkEnd w:id="31"/>
      <w:bookmarkEnd w:id="35"/>
      <w:bookmarkEnd w:id="36"/>
    </w:p>
    <w:p>
      <w:pPr>
        <w:pStyle w:val="3"/>
        <w:spacing w:line="400" w:lineRule="exact"/>
        <w:ind w:firstLine="420"/>
        <w:rPr>
          <w:rFonts w:ascii="微软雅黑" w:hAnsi="微软雅黑" w:eastAsia="微软雅黑"/>
          <w:lang w:val="en-US"/>
        </w:rPr>
      </w:pPr>
      <w:bookmarkStart w:id="37" w:name="_Toc452108764"/>
      <w:bookmarkStart w:id="38" w:name="_Toc451698935"/>
      <w:bookmarkStart w:id="39" w:name="_Toc451436145"/>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pPr>
        <w:pStyle w:val="2"/>
        <w:spacing w:before="312"/>
      </w:pPr>
      <w:bookmarkStart w:id="41" w:name="_Toc13735913"/>
      <w:bookmarkStart w:id="42" w:name="_Toc20421"/>
      <w:r>
        <w:rPr>
          <w:rFonts w:hint="eastAsia"/>
        </w:rPr>
        <w:t>计算</w:t>
      </w:r>
      <w:bookmarkEnd w:id="37"/>
      <w:bookmarkEnd w:id="38"/>
      <w:r>
        <w:rPr>
          <w:rFonts w:hint="eastAsia"/>
        </w:rPr>
        <w:t>方法</w:t>
      </w:r>
      <w:bookmarkEnd w:id="41"/>
      <w:bookmarkEnd w:id="4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pPr>
        <w:pStyle w:val="4"/>
        <w:spacing w:before="156" w:line="400" w:lineRule="exact"/>
      </w:pPr>
      <w:bookmarkStart w:id="43" w:name="_Toc13735914"/>
      <w:bookmarkStart w:id="44" w:name="_Toc11801"/>
      <w:r>
        <w:t>CFD</w:t>
      </w:r>
      <w:r>
        <w:rPr>
          <w:rFonts w:hint="eastAsia"/>
        </w:rPr>
        <w:t>计算原理</w:t>
      </w:r>
      <w:bookmarkEnd w:id="43"/>
      <w:bookmarkEnd w:id="44"/>
    </w:p>
    <w:p>
      <w:pPr>
        <w:pStyle w:val="5"/>
        <w:spacing w:before="156" w:line="400" w:lineRule="exact"/>
      </w:pPr>
      <w:bookmarkStart w:id="45" w:name="_Toc13735915"/>
      <w:bookmarkStart w:id="46" w:name="_Toc451698937"/>
      <w:bookmarkStart w:id="47" w:name="_Toc452108765"/>
      <w:r>
        <w:rPr>
          <w:rFonts w:hint="eastAsia"/>
        </w:rPr>
        <w:t>湍流模型</w:t>
      </w:r>
      <w:bookmarkEnd w:id="45"/>
    </w:p>
    <w:p>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bookmarkStart w:id="48" w:name="_Toc13735916"/>
            <w:bookmarkStart w:id="49" w:name="_Toc452108766"/>
            <w:bookmarkStart w:id="50" w:name="_Toc8151"/>
            <w:bookmarkStart w:id="51" w:name="_Toc451698938"/>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r>
              <w:rPr>
                <w:rFonts w:hint="eastAsia" w:cs="宋体"/>
                <w:b/>
                <w:bCs/>
                <w:sz w:val="18"/>
                <w:szCs w:val="18"/>
              </w:rPr>
              <w:t>特点和适用工况</w:t>
            </w:r>
          </w:p>
        </w:tc>
      </w:tr>
      <w:tr>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旋转流动、强逆压梯度的边界层流动、流动分离和二次流，类似于RNG</w:t>
            </w:r>
          </w:p>
        </w:tc>
      </w:tr>
    </w:tbl>
    <w:p>
      <w:pPr>
        <w:pStyle w:val="5"/>
        <w:tabs>
          <w:tab w:val="left" w:pos="360"/>
        </w:tabs>
        <w:spacing w:before="156"/>
        <w:ind w:left="0" w:firstLine="0"/>
      </w:pPr>
      <w:r>
        <w:rPr>
          <w:rFonts w:hint="eastAsia"/>
        </w:rPr>
        <w:t>边界条件</w:t>
      </w:r>
      <w:bookmarkEnd w:id="48"/>
      <w:bookmarkEnd w:id="49"/>
      <w:bookmarkEnd w:id="50"/>
      <w:bookmarkEnd w:id="51"/>
    </w:p>
    <w:p>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pPr>
        <w:spacing w:line="400" w:lineRule="exact"/>
        <w:ind w:firstLine="435"/>
      </w:pPr>
      <w:r>
        <w:rPr>
          <w:rFonts w:hint="eastAsia"/>
          <w:b/>
        </w:rPr>
        <w:t>送风口</w:t>
      </w:r>
      <w:r>
        <w:rPr>
          <w:rFonts w:hint="eastAsia"/>
        </w:rPr>
        <w:t>：采用温度和风速作为边界条件；</w:t>
      </w:r>
    </w:p>
    <w:p>
      <w:pPr>
        <w:spacing w:line="400" w:lineRule="exact"/>
        <w:ind w:firstLine="435"/>
      </w:pPr>
      <w:r>
        <w:rPr>
          <w:rFonts w:hint="eastAsia"/>
          <w:b/>
        </w:rPr>
        <w:t>回风口</w:t>
      </w:r>
      <w:r>
        <w:rPr>
          <w:rFonts w:hint="eastAsia"/>
        </w:rPr>
        <w:t>：采用绝热和定压边界条件；</w:t>
      </w:r>
    </w:p>
    <w:p>
      <w:pPr>
        <w:pStyle w:val="5"/>
        <w:tabs>
          <w:tab w:val="left" w:pos="360"/>
        </w:tabs>
        <w:spacing w:before="156" w:line="400" w:lineRule="exact"/>
        <w:ind w:left="0" w:firstLine="0"/>
      </w:pPr>
      <w:bookmarkStart w:id="52" w:name="_Toc452108767"/>
      <w:bookmarkStart w:id="53" w:name="_Toc451698939"/>
      <w:bookmarkStart w:id="54" w:name="_Toc23583"/>
      <w:bookmarkStart w:id="55" w:name="_Toc13735917"/>
      <w:r>
        <w:rPr>
          <w:rFonts w:hint="eastAsia"/>
        </w:rPr>
        <w:t>求解计算</w:t>
      </w:r>
      <w:bookmarkEnd w:id="52"/>
      <w:bookmarkEnd w:id="53"/>
      <w:bookmarkEnd w:id="54"/>
      <w:bookmarkEnd w:id="55"/>
    </w:p>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w:rPr>
                  <w:rFonts w:ascii="Cambria Math" w:hAnsi="Cambria Math" w:eastAsia="微软雅黑"/>
                  <w:lang w:val="en-US"/>
                </w:rPr>
                <m:t>∂(ρϕ)</m:t>
              </m:r>
              <m:ctrlPr>
                <w:rPr>
                  <w:rFonts w:ascii="Cambria Math" w:hAnsi="Cambria Math" w:eastAsia="微软雅黑" w:cs="宋体"/>
                  <w:sz w:val="24"/>
                  <w:szCs w:val="24"/>
                </w:rPr>
              </m:ctrlPr>
            </m:num>
            <m:den>
              <m: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w:rPr>
                      <w:rFonts w:ascii="Cambria Math" w:hAnsi="Cambria Math" w:eastAsia="微软雅黑"/>
                      <w:lang w:val="en-US"/>
                    </w:rPr>
                    <m:t>ϕ</m:t>
                  </m:r>
                  <m:ctrlPr>
                    <w:rPr>
                      <w:rFonts w:ascii="Cambria Math" w:hAnsi="Cambria Math" w:eastAsia="微软雅黑" w:cs="宋体"/>
                      <w:i/>
                      <w:sz w:val="24"/>
                      <w:szCs w:val="24"/>
                    </w:rPr>
                  </m:ctrlPr>
                </m:sub>
              </m:sSub>
              <m: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w:rPr>
                  <w:rFonts w:ascii="Cambria Math" w:hAnsi="Cambria Math" w:eastAsia="微软雅黑"/>
                  <w:lang w:val="en-US"/>
                </w:rPr>
                <m:t>S</m:t>
              </m:r>
              <m:ctrlPr>
                <w:rPr>
                  <w:rFonts w:ascii="Cambria Math" w:hAnsi="Cambria Math" w:eastAsia="微软雅黑" w:cs="宋体"/>
                  <w:sz w:val="24"/>
                  <w:szCs w:val="24"/>
                </w:rPr>
              </m:ctrlPr>
            </m:e>
            <m:sub>
              <m:r>
                <w:rPr>
                  <w:rFonts w:ascii="Cambria Math" w:hAnsi="Cambria Math" w:eastAsia="微软雅黑"/>
                  <w:lang w:val="en-US"/>
                </w:rPr>
                <m:t>ϕ</m:t>
              </m:r>
              <m:ctrlPr>
                <w:rPr>
                  <w:rFonts w:ascii="Cambria Math" w:hAnsi="Cambria Math" w:eastAsia="微软雅黑" w:cs="宋体"/>
                  <w:sz w:val="24"/>
                  <w:szCs w:val="24"/>
                </w:rPr>
              </m:ctrlPr>
            </m:sub>
          </m:sSub>
        </m:oMath>
      </m:oMathPara>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pPr>
        <w:pStyle w:val="3"/>
        <w:spacing w:line="400" w:lineRule="exact"/>
        <w:ind w:firstLine="0" w:firstLineChars="0"/>
        <w:jc w:val="center"/>
        <w:rPr>
          <w:rFonts w:ascii="微软雅黑" w:hAnsi="微软雅黑" w:eastAsia="微软雅黑"/>
          <w:b/>
          <w:sz w:val="18"/>
          <w:szCs w:val="18"/>
        </w:rPr>
      </w:pPr>
      <w:bookmarkStart w:id="56"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6"/>
      <w:r>
        <w:rPr>
          <w:rFonts w:hint="eastAsia" w:ascii="微软雅黑" w:hAnsi="微软雅黑" w:eastAsia="微软雅黑"/>
          <w:b/>
          <w:sz w:val="18"/>
          <w:szCs w:val="18"/>
        </w:rPr>
        <w:t xml:space="preserve"> </w:t>
      </w:r>
      <w:bookmarkStart w:id="57" w:name="_Ref225175618"/>
      <w:r>
        <w:rPr>
          <w:rFonts w:hint="eastAsia" w:ascii="微软雅黑" w:hAnsi="微软雅黑" w:eastAsia="微软雅黑"/>
          <w:b/>
          <w:sz w:val="18"/>
          <w:szCs w:val="18"/>
        </w:rPr>
        <w:t>计算流体力学的控制方程</w:t>
      </w:r>
      <w:bookmarkEnd w:id="57"/>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∂x</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∂y</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∂z</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B</m:t>
                    </m:r>
                    <m:ctrlPr>
                      <w:rPr>
                        <w:rFonts w:ascii="Cambria Math" w:hAnsi="Cambria Math" w:cs="Calibri"/>
                        <w:kern w:val="2"/>
                        <w:sz w:val="18"/>
                        <w:szCs w:val="18"/>
                      </w:rPr>
                    </m:ctrlPr>
                  </m:sub>
                </m:sSub>
                <m:r>
                  <w:rPr>
                    <w:rFonts w:ascii="Cambria Math" w:hAnsi="Cambria Math" w:cs="Calibri"/>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ctrlPr>
                      <w:rPr>
                        <w:rFonts w:ascii="Cambria Math" w:hAnsi="Cambria Math" w:cs="Calibri"/>
                        <w:kern w:val="2"/>
                        <w:sz w:val="18"/>
                        <w:szCs w:val="18"/>
                      </w:rPr>
                    </m:ctrlPr>
                  </m:e>
                  <m:sub>
                    <m: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w:rPr>
                        <w:rFonts w:ascii="Cambria Math" w:hAnsi="Cambria Math" w:cs="Calibri"/>
                        <w:kern w:val="2"/>
                        <w:sz w:val="18"/>
                        <w:szCs w:val="18"/>
                      </w:rPr>
                      <m:t>ε</m:t>
                    </m:r>
                    <m:ctrlPr>
                      <w:rPr>
                        <w:rFonts w:ascii="Cambria Math" w:hAnsi="Cambria Math" w:cs="Calibri"/>
                        <w:kern w:val="2"/>
                        <w:sz w:val="18"/>
                        <w:szCs w:val="18"/>
                      </w:rPr>
                    </m:ctrlPr>
                  </m:num>
                  <m:den>
                    <m: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k</m:t>
                        </m:r>
                        <m:ctrlPr>
                          <w:rPr>
                            <w:rFonts w:ascii="Cambria Math" w:hAnsi="Cambria Math" w:cs="Calibri"/>
                            <w:i/>
                            <w:kern w:val="2"/>
                            <w:sz w:val="18"/>
                            <w:szCs w:val="18"/>
                          </w:rPr>
                        </m:ctrlP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2ε</m:t>
                    </m:r>
                    <m:ctrlPr>
                      <w:rPr>
                        <w:rFonts w:ascii="Cambria Math" w:hAnsi="Cambria Math" w:cs="Calibri"/>
                        <w:i/>
                        <w:kern w:val="2"/>
                        <w:sz w:val="18"/>
                        <w:szCs w:val="18"/>
                      </w:rPr>
                    </m:ctrlP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ctrlPr>
                          <w:rPr>
                            <w:rFonts w:ascii="Cambria Math" w:hAnsi="Cambria Math" w:cs="Calibri"/>
                            <w:i/>
                            <w:kern w:val="2"/>
                            <w:sz w:val="18"/>
                            <w:szCs w:val="18"/>
                          </w:rPr>
                        </m:ctrlPr>
                      </m:e>
                      <m:sup>
                        <m: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w:rPr>
                        <w:rFonts w:ascii="Cambria Math" w:hAnsi="Cambria Math" w:cs="Calibri"/>
                        <w:kern w:val="2"/>
                        <w:sz w:val="18"/>
                        <w:szCs w:val="18"/>
                      </w:rPr>
                      <m:t>k</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ctrlPr>
                      <w:rPr>
                        <w:rFonts w:ascii="Cambria Math" w:hAnsi="Cambria Math" w:cs="Calibri"/>
                        <w:i/>
                        <w:kern w:val="2"/>
                        <w:sz w:val="18"/>
                        <w:szCs w:val="18"/>
                      </w:rPr>
                    </m:ctrlPr>
                  </m:e>
                  <m:sub>
                    <m: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ctrlPr>
                      <w:rPr>
                        <w:rFonts w:ascii="Cambria Math" w:hAnsi="Cambria Math" w:cs="Calibri"/>
                        <w:kern w:val="2"/>
                        <w:sz w:val="18"/>
                        <w:szCs w:val="18"/>
                      </w:rPr>
                    </m:ctrlPr>
                  </m:num>
                  <m:den>
                    <m: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w:rPr>
                            <w:rFonts w:ascii="Cambria Math" w:hAnsi="Cambria Math" w:cs="Calibri"/>
                            <w:kern w:val="2"/>
                            <w:sz w:val="18"/>
                            <w:szCs w:val="18"/>
                          </w:rPr>
                          <m:t>σ</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w:rPr>
                        <w:rFonts w:ascii="Cambria Math" w:hAnsi="Cambria Math" w:eastAsia="微软雅黑"/>
                        <w:sz w:val="20"/>
                        <w:lang w:val="en-US"/>
                      </w:rPr>
                      <m:t>S</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w:rPr>
                        <w:rFonts w:ascii="Cambria Math" w:hAnsi="Cambria Math" w:eastAsia="微软雅黑"/>
                        <w:sz w:val="20"/>
                        <w:lang w:val="en-US"/>
                      </w:rPr>
                      <m:t>2</m:t>
                    </m:r>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S</m:t>
                    </m:r>
                    <m:ctrlPr>
                      <w:rPr>
                        <w:rFonts w:ascii="Cambria Math" w:hAnsi="Cambria Math" w:eastAsia="微软雅黑"/>
                        <w:sz w:val="20"/>
                        <w:lang w:val="en-US"/>
                      </w:rPr>
                    </m:ctrlPr>
                  </m:e>
                  <m:sub>
                    <m: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w:rPr>
                        <w:rFonts w:ascii="Cambria Math" w:hAnsi="Cambria Math" w:eastAsia="微软雅黑"/>
                        <w:sz w:val="20"/>
                        <w:lang w:val="en-US"/>
                      </w:rPr>
                      <m:t>1</m:t>
                    </m:r>
                    <m:ctrlPr>
                      <w:rPr>
                        <w:rFonts w:ascii="Cambria Math" w:hAnsi="Cambria Math" w:eastAsia="微软雅黑"/>
                        <w:sz w:val="20"/>
                        <w:lang w:val="en-US"/>
                      </w:rPr>
                    </m:ctrlPr>
                  </m:num>
                  <m:den>
                    <m: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hint="eastAsia"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B</m:t>
                    </m:r>
                    <m:ctrlPr>
                      <w:rPr>
                        <w:rFonts w:ascii="Cambria Math" w:hAnsi="Cambria Math" w:eastAsia="微软雅黑"/>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β</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σ</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w:rPr>
                        <w:rFonts w:ascii="Cambria Math" w:hAnsi="Cambria Math" w:eastAsia="微软雅黑"/>
                        <w:sz w:val="20"/>
                        <w:lang w:val="en-US"/>
                      </w:rPr>
                      <m:t>∂T</m:t>
                    </m:r>
                    <m:ctrlPr>
                      <w:rPr>
                        <w:rFonts w:ascii="Cambria Math" w:hAnsi="Cambria Math" w:eastAsia="微软雅黑"/>
                        <w:i/>
                        <w:sz w:val="20"/>
                        <w:lang w:val="en-US"/>
                      </w:rPr>
                    </m:ctrlPr>
                  </m:num>
                  <m:den>
                    <m: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k</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3ε</m:t>
                    </m:r>
                    <m:ctrlPr>
                      <w:rPr>
                        <w:rFonts w:ascii="Cambria Math" w:hAnsi="Cambria Math" w:eastAsia="微软雅黑"/>
                        <w:sz w:val="20"/>
                        <w:lang w:val="en-US"/>
                      </w:rPr>
                    </m:ctrlPr>
                  </m:sub>
                </m:sSub>
                <m: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w:rPr>
                                    <w:rFonts w:ascii="Cambria Math" w:hAnsi="Cambria Math" w:eastAsia="微软雅黑"/>
                                    <w:sz w:val="20"/>
                                    <w:lang w:val="en-US"/>
                                  </w:rPr>
                                  <m:t>u</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r>
                              <w:rPr>
                                <w:rFonts w:ascii="Cambria Math" w:hAnsi="Cambria Math" w:eastAsia="微软雅黑"/>
                                <w:sz w:val="20"/>
                                <w:lang w:val="en-US"/>
                              </w:rPr>
                              <m:t>+</m:t>
                            </m:r>
                            <m:sSup>
                              <m:sSupPr>
                                <m:ctrlPr>
                                  <w:rPr>
                                    <w:rFonts w:ascii="Cambria Math" w:hAnsi="Cambria Math" w:eastAsia="微软雅黑"/>
                                    <w:i/>
                                    <w:sz w:val="20"/>
                                    <w:lang w:val="en-US"/>
                                  </w:rPr>
                                </m:ctrlPr>
                              </m:sSupPr>
                              <m:e>
                                <m:r>
                                  <w:rPr>
                                    <w:rFonts w:ascii="Cambria Math" w:hAnsi="Cambria Math" w:eastAsia="微软雅黑"/>
                                    <w:sz w:val="20"/>
                                    <w:lang w:val="en-US"/>
                                  </w:rPr>
                                  <m:t>w</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m:t>
                              </m:r>
                              <m:ctrlPr>
                                <w:rPr>
                                  <w:rFonts w:ascii="Cambria Math" w:hAnsi="Cambria Math" w:eastAsia="微软雅黑"/>
                                  <w:i/>
                                  <w:sz w:val="20"/>
                                  <w:lang w:val="en-US"/>
                                </w:rPr>
                              </m:ctrlPr>
                            </m:sub>
                          </m:sSub>
                          <m: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w:rPr>
                      <w:rFonts w:ascii="Cambria Math" w:hAnsi="Cambria Math" w:eastAsia="微软雅黑"/>
                      <w:sz w:val="20"/>
                      <w:lang w:val="en-US"/>
                    </w:rPr>
                    <m:t>0.3679</m:t>
                  </m:r>
                  <m:ctrlPr>
                    <w:rPr>
                      <w:rFonts w:ascii="Cambria Math" w:hAnsi="Cambria Math" w:eastAsia="微软雅黑"/>
                      <w:i/>
                      <w:sz w:val="20"/>
                      <w:lang w:val="en-US"/>
                    </w:rPr>
                  </m:ctrlPr>
                </m:sup>
              </m:sSup>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=1.0</m:t>
              </m:r>
              <m: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w:rPr>
                  <w:rFonts w:ascii="Cambria Math" w:hAnsi="Cambria Math" w:eastAsia="微软雅黑"/>
                  <w:sz w:val="20"/>
                  <w:lang w:val="en-US"/>
                </w:rPr>
                <m:t>μ≪</m:t>
              </m:r>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r>
                    <w:rPr>
                      <w:rFonts w:ascii="Cambria Math" w:hAnsi="Cambria Math" w:eastAsia="微软雅黑"/>
                      <w:sz w:val="20"/>
                      <w:lang w:val="en-US"/>
                    </w:rPr>
                    <m:t xml:space="preserve">, </m:t>
                  </m:r>
                  <m:ctrlPr>
                    <w:rPr>
                      <w:rFonts w:ascii="Cambria Math" w:hAnsi="Cambria Math" w:eastAsia="微软雅黑"/>
                      <w:i/>
                      <w:sz w:val="20"/>
                      <w:lang w:val="en-US"/>
                    </w:rPr>
                  </m:ctrlPr>
                </m:sub>
              </m:sSub>
              <m: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hint="eastAsia" w:ascii="Cambria Math" w:hAnsi="Cambria Math" w:eastAsia="微软雅黑"/>
                      <w:sz w:val="20"/>
                      <w:lang w:val="en-US"/>
                    </w:rPr>
                    <m:t>k</m:t>
                  </m:r>
                  <m:ctrlPr>
                    <w:rPr>
                      <w:rFonts w:ascii="Cambria Math" w:hAnsi="Cambria Math" w:eastAsia="微软雅黑"/>
                      <w:i/>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ε</m:t>
                  </m:r>
                  <m:ctrlPr>
                    <w:rPr>
                      <w:rFonts w:ascii="Cambria Math" w:hAnsi="Cambria Math" w:eastAsia="微软雅黑"/>
                      <w:i/>
                      <w:sz w:val="20"/>
                      <w:lang w:val="en-US"/>
                    </w:rPr>
                  </m:ctrlPr>
                </m:sub>
              </m:sSub>
              <m:r>
                <w:rPr>
                  <w:rFonts w:ascii="Cambria Math" w:hAnsi="Cambria Math" w:eastAsia="微软雅黑"/>
                  <w:sz w:val="20"/>
                  <w:lang w:val="en-US"/>
                </w:rPr>
                <m:t>≈1.393</m:t>
              </m:r>
            </m:oMath>
            <w:r>
              <w:rPr>
                <w:rFonts w:ascii="微软雅黑" w:hAnsi="微软雅黑" w:eastAsia="微软雅黑"/>
                <w:sz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R</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C</m:t>
                        </m:r>
                        <m:ctrlPr>
                          <w:rPr>
                            <w:rFonts w:ascii="Cambria Math" w:hAnsi="Cambria Math" w:eastAsia="微软雅黑"/>
                            <w:i/>
                            <w:sz w:val="20"/>
                            <w:lang w:val="en-US"/>
                          </w:rPr>
                        </m:ctrlPr>
                      </m:e>
                      <m:sub>
                        <m:r>
                          <w:rPr>
                            <w:rFonts w:ascii="Cambria Math" w:hAnsi="Cambria Math" w:eastAsia="微软雅黑"/>
                            <w:sz w:val="20"/>
                            <w:lang w:val="en-US"/>
                          </w:rPr>
                          <m:t>μ</m:t>
                        </m:r>
                        <m:ctrlPr>
                          <w:rPr>
                            <w:rFonts w:ascii="Cambria Math" w:hAnsi="Cambria Math" w:eastAsia="微软雅黑"/>
                            <w:i/>
                            <w:sz w:val="20"/>
                            <w:lang w:val="en-US"/>
                          </w:rPr>
                        </m:ctrlPr>
                      </m:sub>
                    </m:sSub>
                    <m:r>
                      <w:rPr>
                        <w:rFonts w:ascii="Cambria Math" w:hAnsi="Cambria Math" w:eastAsia="微软雅黑"/>
                        <w:sz w:val="20"/>
                        <w:lang w:val="en-US"/>
                      </w:rPr>
                      <m:t>ρ</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(1-η/</m:t>
                    </m:r>
                    <m:sSub>
                      <m:sSubPr>
                        <m:ctrlPr>
                          <w:rPr>
                            <w:rFonts w:ascii="Cambria Math" w:hAnsi="Cambria Math" w:eastAsia="微软雅黑"/>
                            <w:i/>
                            <w:sz w:val="20"/>
                            <w:lang w:val="en-US"/>
                          </w:rPr>
                        </m:ctrlPr>
                      </m:sSubPr>
                      <m:e>
                        <m:r>
                          <w:rPr>
                            <w:rFonts w:ascii="Cambria Math" w:hAnsi="Cambria Math" w:eastAsia="微软雅黑"/>
                            <w:sz w:val="20"/>
                            <w:lang w:val="en-US"/>
                          </w:rPr>
                          <m:t>η</m:t>
                        </m:r>
                        <m:ctrlPr>
                          <w:rPr>
                            <w:rFonts w:ascii="Cambria Math" w:hAnsi="Cambria Math" w:eastAsia="微软雅黑"/>
                            <w:i/>
                            <w:sz w:val="20"/>
                            <w:lang w:val="en-US"/>
                          </w:rPr>
                        </m:ctrlPr>
                      </m:e>
                      <m:sub>
                        <m:r>
                          <w:rPr>
                            <w:rFonts w:ascii="Cambria Math" w:hAnsi="Cambria Math" w:eastAsia="微软雅黑"/>
                            <w:sz w:val="20"/>
                            <w:lang w:val="en-US"/>
                          </w:rPr>
                          <m:t>/</m:t>
                        </m:r>
                        <m:ctrlPr>
                          <w:rPr>
                            <w:rFonts w:ascii="Cambria Math" w:hAnsi="Cambria Math" w:eastAsia="微软雅黑"/>
                            <w:i/>
                            <w:sz w:val="20"/>
                            <w:lang w:val="en-US"/>
                          </w:rPr>
                        </m:ctrlPr>
                      </m:sub>
                    </m:sSub>
                    <m:r>
                      <w:rPr>
                        <w:rFonts w:ascii="Cambria Math" w:hAnsi="Cambria Math" w:eastAsia="微软雅黑"/>
                        <w:sz w:val="20"/>
                        <w:lang w:val="en-US"/>
                      </w:rPr>
                      <m:t>)</m:t>
                    </m:r>
                    <m:ctrlPr>
                      <w:rPr>
                        <w:rFonts w:ascii="Cambria Math" w:hAnsi="Cambria Math" w:eastAsia="微软雅黑"/>
                        <w:sz w:val="20"/>
                        <w:lang w:val="en-US"/>
                      </w:rPr>
                    </m:ctrlPr>
                  </m:num>
                  <m:den>
                    <m:r>
                      <w:rPr>
                        <w:rFonts w:ascii="Cambria Math" w:hAnsi="Cambria Math" w:eastAsia="微软雅黑"/>
                        <w:sz w:val="20"/>
                        <w:lang w:val="en-US"/>
                      </w:rPr>
                      <m:t>(1+β</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ε</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w:rPr>
                        <w:rFonts w:ascii="Cambria Math" w:hAnsi="Cambria Math" w:eastAsia="微软雅黑"/>
                        <w:sz w:val="20"/>
                        <w:lang w:val="en-US"/>
                      </w:rPr>
                      <m:t>k</m:t>
                    </m:r>
                    <m:ctrlPr>
                      <w:rPr>
                        <w:rFonts w:ascii="Cambria Math" w:hAnsi="Cambria Math" w:eastAsia="微软雅黑"/>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w:rPr>
                    <w:rFonts w:hint="eastAsia" w:ascii="Cambria Math" w:hAnsi="Cambria Math" w:eastAsia="微软雅黑"/>
                    <w:sz w:val="20"/>
                    <w:lang w:val="en-US"/>
                  </w:rPr>
                  <m:t>，</m:t>
                </m:r>
                <m:r>
                  <w:rPr>
                    <w:rFonts w:ascii="Cambria Math" w:hAnsi="Cambria Math" w:eastAsia="微软雅黑"/>
                    <w:sz w:val="20"/>
                    <w:lang w:val="en-US"/>
                  </w:rPr>
                  <m:t>η=</m:t>
                </m:r>
                <m:f>
                  <m:fPr>
                    <m:ctrlPr>
                      <w:rPr>
                        <w:rFonts w:ascii="Cambria Math" w:hAnsi="Cambria Math" w:eastAsia="微软雅黑"/>
                        <w:i/>
                        <w:sz w:val="20"/>
                        <w:lang w:val="en-US"/>
                      </w:rPr>
                    </m:ctrlPr>
                  </m:fPr>
                  <m:num>
                    <m:r>
                      <w:rPr>
                        <w:rFonts w:ascii="Cambria Math" w:hAnsi="Cambria Math" w:eastAsia="微软雅黑"/>
                        <w:sz w:val="20"/>
                        <w:lang w:val="en-US"/>
                      </w:rPr>
                      <m:t>S</m:t>
                    </m:r>
                    <m:r>
                      <w:rPr>
                        <w:rFonts w:hint="eastAsia" w:ascii="Cambria Math" w:hAnsi="Cambria Math" w:eastAsia="微软雅黑"/>
                        <w:sz w:val="20"/>
                        <w:lang w:val="en-US"/>
                      </w:rPr>
                      <m:t>k</m:t>
                    </m:r>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w:rPr>
                        <w:rFonts w:ascii="Cambria Math" w:hAnsi="Cambria Math" w:eastAsia="微软雅黑"/>
                        <w:sz w:val="20"/>
                        <w:lang w:val="en-US"/>
                      </w:rPr>
                      <m:t>η</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=4.38 , β=0.012</m:t>
                </m:r>
              </m:oMath>
            </m:oMathPara>
          </w:p>
        </w:tc>
      </w:tr>
    </w:tbl>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pPr>
        <w:pStyle w:val="4"/>
        <w:tabs>
          <w:tab w:val="left" w:pos="0"/>
          <w:tab w:val="clear" w:pos="578"/>
        </w:tabs>
        <w:spacing w:before="156" w:line="400" w:lineRule="exact"/>
        <w:ind w:left="0" w:firstLine="0"/>
      </w:pPr>
      <w:bookmarkStart w:id="58" w:name="_Toc13735918"/>
      <w:bookmarkStart w:id="59" w:name="_Toc22902"/>
      <w:r>
        <w:rPr>
          <w:rFonts w:hint="eastAsia"/>
        </w:rPr>
        <w:t>热湿环境评价</w:t>
      </w:r>
      <w:r>
        <w:t>指标</w:t>
      </w:r>
      <w:r>
        <w:rPr>
          <w:rFonts w:hint="eastAsia"/>
        </w:rPr>
        <w:t>计算</w:t>
      </w:r>
      <w:bookmarkEnd w:id="58"/>
      <w:bookmarkEnd w:id="59"/>
    </w:p>
    <w:p>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60" w:name="_Hlk13601794"/>
      <w:r>
        <w:rPr>
          <w:rFonts w:hint="eastAsia" w:ascii="微软雅黑" w:hAnsi="微软雅黑" w:eastAsia="微软雅黑"/>
          <w:lang w:val="en-US"/>
        </w:rPr>
        <w:t>本项目采用《民用建筑室内热湿环境评价标准》GB/T 50785-2012中所示的计算程序完成上述PMV的计算。</w:t>
      </w:r>
    </w:p>
    <w:p>
      <w:pPr>
        <w:pStyle w:val="5"/>
        <w:tabs>
          <w:tab w:val="left" w:pos="360"/>
        </w:tabs>
        <w:spacing w:before="156" w:line="400" w:lineRule="exact"/>
        <w:ind w:left="0" w:firstLine="0"/>
      </w:pPr>
      <w:r>
        <w:t>PMV</w:t>
      </w:r>
      <w:r>
        <w:rPr>
          <w:rFonts w:hint="eastAsia"/>
        </w:rPr>
        <w:t>计算公式</w:t>
      </w:r>
    </w:p>
    <w:bookmarkEnd w:id="60"/>
    <w:p>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spacing w:line="400" w:lineRule="exact"/>
        <w:ind w:firstLine="420"/>
        <w:rPr>
          <w:rFonts w:ascii="微软雅黑" w:hAnsi="微软雅黑" w:eastAsia="微软雅黑"/>
          <w:lang w:val="en-US"/>
        </w:rPr>
      </w:pPr>
      <w:bookmarkStart w:id="61" w:name="_Toc13735919"/>
      <w:r>
        <w:rPr>
          <w:rFonts w:hint="eastAsia" w:ascii="微软雅黑" w:hAnsi="微软雅黑" w:eastAsia="微软雅黑"/>
          <w:lang w:val="en-US"/>
        </w:rPr>
        <w:t>式中：</w:t>
      </w:r>
    </w:p>
    <w:p>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pPr>
        <w:pStyle w:val="5"/>
        <w:tabs>
          <w:tab w:val="left" w:pos="360"/>
        </w:tabs>
        <w:spacing w:before="156"/>
        <w:ind w:left="0" w:firstLine="0"/>
      </w:pPr>
      <w:r>
        <w:t>PPD</w:t>
      </w:r>
      <w:r>
        <w:rPr>
          <w:rFonts w:hint="eastAsia"/>
        </w:rPr>
        <w:t>计算公式</w:t>
      </w:r>
      <w:bookmarkEnd w:id="61"/>
    </w:p>
    <w:p>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w:rPr>
                <w:rFonts w:ascii="Cambria Math" w:hAnsi="Cambria Math" w:eastAsia="微软雅黑"/>
                <w:lang w:val="en-US"/>
              </w:rPr>
              <m:t>PMV</m:t>
            </m:r>
            <m:ctrlPr>
              <w:rPr>
                <w:rFonts w:ascii="Cambria Math" w:hAnsi="Cambria Math" w:eastAsia="微软雅黑"/>
              </w:rPr>
            </m:ctrlPr>
          </m:e>
          <m:sup>
            <m:r>
              <w:rPr>
                <w:rFonts w:ascii="Cambria Math" w:hAnsi="Cambria Math" w:eastAsia="微软雅黑"/>
                <w:lang w:val="en-US"/>
              </w:rPr>
              <m:t>4</m:t>
            </m:r>
            <m:ctrlPr>
              <w:rPr>
                <w:rFonts w:ascii="Cambria Math" w:hAnsi="Cambria Math" w:eastAsia="微软雅黑"/>
              </w:rPr>
            </m:ctrlPr>
          </m:sup>
        </m:sSup>
        <m:r>
          <w:rPr>
            <w:rFonts w:ascii="Cambria Math" w:hAnsi="Cambria Math" w:eastAsia="微软雅黑"/>
            <w:lang w:val="en-US"/>
          </w:rPr>
          <m:t>-0.2179∙</m:t>
        </m:r>
        <m:sSup>
          <m:sSupPr>
            <m:ctrlPr>
              <w:rPr>
                <w:rFonts w:ascii="Cambria Math" w:hAnsi="Cambria Math" w:eastAsia="微软雅黑"/>
                <w:i/>
              </w:rPr>
            </m:ctrlPr>
          </m:sSupPr>
          <m:e>
            <m:r>
              <w:rPr>
                <w:rFonts w:ascii="Cambria Math" w:hAnsi="Cambria Math" w:eastAsia="微软雅黑"/>
                <w:lang w:val="en-US"/>
              </w:rPr>
              <m:t>PMV</m:t>
            </m:r>
            <m:ctrlPr>
              <w:rPr>
                <w:rFonts w:ascii="Cambria Math" w:hAnsi="Cambria Math" w:eastAsia="微软雅黑"/>
                <w:i/>
              </w:rPr>
            </m:ctrlPr>
          </m:e>
          <m:sup>
            <m:r>
              <w:rPr>
                <w:rFonts w:ascii="Cambria Math" w:hAnsi="Cambria Math" w:eastAsia="微软雅黑"/>
                <w:lang w:val="en-US"/>
              </w:rPr>
              <m:t>2</m:t>
            </m:r>
            <m:ctrlPr>
              <w:rPr>
                <w:rFonts w:ascii="Cambria Math" w:hAnsi="Cambria Math" w:eastAsia="微软雅黑"/>
                <w:i/>
              </w:rPr>
            </m:ctrlPr>
          </m:sup>
        </m:sSup>
        <m:r>
          <w:rPr>
            <w:rFonts w:ascii="Cambria Math" w:hAnsi="Cambria Math" w:eastAsia="微软雅黑"/>
            <w:lang w:val="en-US"/>
          </w:rPr>
          <m:t>)</m:t>
        </m:r>
      </m:oMath>
      <w:r>
        <w:rPr>
          <w:rFonts w:hint="eastAsia" w:ascii="微软雅黑" w:hAnsi="微软雅黑" w:eastAsia="微软雅黑"/>
          <w:lang w:val="en-US"/>
        </w:rPr>
        <w:t xml:space="preserve">                    (5)</w:t>
      </w:r>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pPr>
        <w:pStyle w:val="5"/>
        <w:tabs>
          <w:tab w:val="left" w:pos="360"/>
        </w:tabs>
        <w:spacing w:before="156"/>
        <w:ind w:left="0" w:firstLine="0"/>
      </w:pPr>
      <w:bookmarkStart w:id="62" w:name="_Toc13735920"/>
      <w:r>
        <w:rPr>
          <w:rFonts w:hint="eastAsia"/>
        </w:rPr>
        <w:t>PMV和PPD达标比例计算</w:t>
      </w:r>
      <w:bookmarkEnd w:id="6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spacing w:before="312"/>
      </w:pPr>
      <w:bookmarkStart w:id="63" w:name="_Toc452108768"/>
      <w:bookmarkStart w:id="64" w:name="_Toc3745"/>
      <w:bookmarkStart w:id="65" w:name="_Toc13735921"/>
      <w:bookmarkStart w:id="66" w:name="_Toc15040"/>
      <w:r>
        <w:rPr>
          <w:rFonts w:hint="eastAsia"/>
        </w:rPr>
        <w:t>结果</w:t>
      </w:r>
      <w:r>
        <w:t>分析</w:t>
      </w:r>
      <w:bookmarkEnd w:id="63"/>
      <w:bookmarkEnd w:id="64"/>
      <w:bookmarkEnd w:id="65"/>
      <w:bookmarkEnd w:id="66"/>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bookmarkStart w:id="67" w:name="计算工况表"/>
            <w:r>
              <w:rPr>
                <w:rFonts w:hint="eastAsia" w:ascii="微软雅黑" w:hAnsi="微软雅黑" w:eastAsia="微软雅黑"/>
                <w:b/>
                <w:sz w:val="18"/>
                <w:szCs w:val="18"/>
              </w:rPr>
              <w:t>序号</w:t>
            </w:r>
          </w:p>
        </w:tc>
        <w:tc>
          <w:tcPr>
            <w:tcW w:w="2239"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2层-房间2004</w:t>
            </w:r>
          </w:p>
        </w:tc>
        <w:tc>
          <w:tcPr>
            <w:tcW w:w="1104" w:type="dxa"/>
            <w:vAlign w:val="center"/>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1.2</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0.5</w:t>
            </w:r>
          </w:p>
        </w:tc>
        <w:tc>
          <w:tcPr>
            <w:tcW w:w="105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7"/>
    </w:tbl>
    <w:p>
      <w:pPr>
        <w:pStyle w:val="3"/>
        <w:ind w:firstLine="0" w:firstLineChars="0"/>
        <w:rPr>
          <w:rFonts w:ascii="微软雅黑" w:hAnsi="微软雅黑" w:eastAsia="微软雅黑"/>
        </w:rPr>
      </w:pPr>
    </w:p>
    <w:p>
      <w:pPr>
        <w:pStyle w:val="4"/>
      </w:pPr>
      <w:bookmarkStart w:id="68" w:name="_Toc2420"/>
      <w:r>
        <w:t>2层分析图</w:t>
      </w:r>
      <w:bookmarkEnd w:id="68"/>
    </w:p>
    <w:p>
      <w:pPr>
        <w:jc w:val="center"/>
      </w:pPr>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bookmarkEnd w:id="7"/>
    <w:p>
      <w:pPr>
        <w:jc w:val="center"/>
      </w:pP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8"/>
    </w:p>
    <w:p>
      <w:pPr>
        <w:jc w:val="center"/>
      </w:pPr>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pPr>
        <w:jc w:val="cente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pPr>
        <w:jc w:val="center"/>
      </w:pPr>
    </w:p>
    <w:p>
      <w:pPr>
        <w:jc w:val="center"/>
      </w:pPr>
    </w:p>
    <w:p>
      <w:pPr>
        <w:pStyle w:val="3"/>
        <w:ind w:firstLine="0" w:firstLineChars="0"/>
        <w:rPr>
          <w:rFonts w:ascii="微软雅黑" w:hAnsi="微软雅黑" w:eastAsia="微软雅黑"/>
          <w:sz w:val="18"/>
          <w:szCs w:val="18"/>
          <w:lang w:val="en-US"/>
        </w:rPr>
      </w:pPr>
      <w:bookmarkStart w:id="69" w:name="结果分析"/>
      <w:bookmarkEnd w:id="69"/>
    </w:p>
    <w:p>
      <w:pPr>
        <w:pStyle w:val="4"/>
        <w:spacing w:before="156" w:line="400" w:lineRule="exact"/>
      </w:pPr>
      <w:bookmarkStart w:id="70" w:name="_Toc13735924"/>
      <w:bookmarkStart w:id="71" w:name="_Toc12177"/>
      <w:r>
        <w:rPr>
          <w:rFonts w:hint="eastAsia"/>
        </w:rPr>
        <w:t>室内PMV与PPD达标比例统计</w:t>
      </w:r>
      <w:bookmarkEnd w:id="70"/>
      <w:bookmarkEnd w:id="71"/>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－0.5≤PMV≤＋0.5</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－1≤PMV＜－0.5或＋0.5＜PMV≤＋1</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PMV＜－1或PMV＞＋1</w:t>
            </w:r>
          </w:p>
        </w:tc>
      </w:tr>
    </w:tbl>
    <w:p>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2"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2"/>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层号</w:t>
            </w:r>
          </w:p>
        </w:tc>
        <w:tc>
          <w:tcPr>
            <w:shd w:val="clear" w:color="auto" w:fill="E6E6E6"/>
            <w:vAlign w:val="center"/>
          </w:tcPr>
          <w:p>
            <w:pPr>
              <w:jc w:val="center"/>
              <w:rPr>
                <w:sz w:val="18"/>
                <w:szCs w:val="18"/>
              </w:rPr>
            </w:pPr>
            <w:r>
              <w:rPr>
                <w:sz w:val="18"/>
                <w:szCs w:val="18"/>
              </w:rPr>
              <w:t>户型</w:t>
            </w:r>
          </w:p>
        </w:tc>
        <w:tc>
          <w:tcPr>
            <w:shd w:val="clear" w:color="auto" w:fill="E6E6E6"/>
            <w:vAlign w:val="center"/>
          </w:tcPr>
          <w:p>
            <w:pPr>
              <w:jc w:val="center"/>
              <w:rPr>
                <w:sz w:val="18"/>
                <w:szCs w:val="18"/>
              </w:rPr>
            </w:pPr>
            <w:r>
              <w:rPr>
                <w:sz w:val="18"/>
                <w:szCs w:val="18"/>
              </w:rPr>
              <w:t>房间编号</w:t>
            </w:r>
          </w:p>
        </w:tc>
        <w:tc>
          <w:tcPr>
            <w:shd w:val="clear" w:color="auto" w:fill="E6E6E6"/>
            <w:vAlign w:val="center"/>
          </w:tcPr>
          <w:p>
            <w:pPr>
              <w:jc w:val="center"/>
              <w:rPr>
                <w:sz w:val="18"/>
                <w:szCs w:val="18"/>
              </w:rPr>
            </w:pPr>
            <w:r>
              <w:rPr>
                <w:sz w:val="18"/>
                <w:szCs w:val="18"/>
              </w:rPr>
              <w:t>房间名称</w:t>
            </w:r>
          </w:p>
        </w:tc>
        <w:tc>
          <w:tcPr>
            <w:shd w:val="clear" w:color="auto" w:fill="E6E6E6"/>
            <w:vAlign w:val="center"/>
          </w:tcPr>
          <w:p>
            <w:pPr>
              <w:jc w:val="center"/>
              <w:rPr>
                <w:sz w:val="18"/>
                <w:szCs w:val="18"/>
              </w:rPr>
            </w:pPr>
            <w:r>
              <w:rPr>
                <w:sz w:val="18"/>
                <w:szCs w:val="18"/>
              </w:rPr>
              <w:t>PMV-PPD达标面积 (㎡)</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PMV-PPD达标面积比例(%)</w:t>
            </w:r>
          </w:p>
        </w:tc>
        <w:tc>
          <w:tcPr>
            <w:shd w:val="clear" w:color="auto" w:fill="E6E6E6"/>
            <w:vAlign w:val="center"/>
          </w:tcPr>
          <w:p>
            <w:pPr>
              <w:jc w:val="center"/>
              <w:rPr>
                <w:sz w:val="18"/>
                <w:szCs w:val="18"/>
              </w:rPr>
            </w:pPr>
            <w:r>
              <w:rPr>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18"/>
                <w:szCs w:val="18"/>
              </w:rPr>
            </w:pPr>
            <w:r>
              <w:rPr>
                <w:sz w:val="18"/>
                <w:szCs w:val="18"/>
              </w:rPr>
              <w:t>b:2层</w:t>
            </w:r>
          </w:p>
        </w:tc>
        <w:tc>
          <w:tcPr>
            <w:vAlign w:val="center"/>
          </w:tcPr>
          <w:p>
            <w:pPr>
              <w:rPr>
                <w:sz w:val="18"/>
                <w:szCs w:val="18"/>
              </w:rPr>
            </w:pPr>
            <w:r>
              <w:rPr>
                <w:sz w:val="18"/>
                <w:szCs w:val="18"/>
              </w:rPr>
              <w:t>b-2</w:t>
            </w:r>
          </w:p>
        </w:tc>
        <w:tc>
          <w:tcPr>
            <w:vAlign w:val="center"/>
          </w:tcPr>
          <w:p>
            <w:pPr>
              <w:rPr>
                <w:sz w:val="18"/>
                <w:szCs w:val="18"/>
              </w:rPr>
            </w:pPr>
            <w:r>
              <w:rPr>
                <w:sz w:val="18"/>
                <w:szCs w:val="18"/>
              </w:rPr>
              <w:t>2004</w:t>
            </w:r>
          </w:p>
        </w:tc>
        <w:tc>
          <w:tcPr>
            <w:vAlign w:val="center"/>
          </w:tcPr>
          <w:p>
            <w:pPr>
              <w:rPr>
                <w:sz w:val="18"/>
                <w:szCs w:val="18"/>
              </w:rPr>
            </w:pPr>
            <w:r>
              <w:rPr>
                <w:sz w:val="18"/>
                <w:szCs w:val="18"/>
              </w:rPr>
              <w:t>报告厅</w:t>
            </w:r>
          </w:p>
        </w:tc>
        <w:tc>
          <w:tcPr>
            <w:vAlign w:val="center"/>
          </w:tcPr>
          <w:p>
            <w:pPr>
              <w:rPr>
                <w:sz w:val="18"/>
                <w:szCs w:val="18"/>
              </w:rPr>
            </w:pPr>
            <w:r>
              <w:rPr>
                <w:sz w:val="18"/>
                <w:szCs w:val="18"/>
              </w:rPr>
              <w:t>123.2</w:t>
            </w:r>
          </w:p>
        </w:tc>
        <w:tc>
          <w:tcPr>
            <w:vAlign w:val="center"/>
          </w:tcPr>
          <w:p>
            <w:pPr>
              <w:rPr>
                <w:sz w:val="18"/>
                <w:szCs w:val="18"/>
              </w:rPr>
            </w:pPr>
            <w:r>
              <w:rPr>
                <w:sz w:val="18"/>
                <w:szCs w:val="18"/>
              </w:rPr>
              <w:t>123.2</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pPr>
              <w:rPr>
                <w:sz w:val="18"/>
                <w:szCs w:val="18"/>
              </w:rPr>
            </w:pPr>
            <w:r>
              <w:rPr>
                <w:sz w:val="18"/>
                <w:szCs w:val="18"/>
              </w:rPr>
              <w:t>建筑PMV-PPD达标面积比例（%）</w:t>
            </w:r>
          </w:p>
        </w:tc>
        <w:tc>
          <w:tcPr>
            <w:gridSpan w:val="4"/>
            <w:vAlign w:val="center"/>
          </w:tcPr>
          <w:p>
            <w:pPr>
              <w:rPr>
                <w:sz w:val="18"/>
                <w:szCs w:val="18"/>
              </w:rPr>
            </w:pPr>
            <w:r>
              <w:rPr>
                <w:sz w:val="18"/>
                <w:szCs w:val="18"/>
              </w:rPr>
              <w:t>100.00%</w:t>
            </w:r>
          </w:p>
        </w:tc>
      </w:tr>
    </w:tbl>
    <w:p>
      <w:pPr>
        <w:spacing w:after="120"/>
        <w:jc w:val="center"/>
        <w:rPr>
          <w:rFonts w:cs="宋体"/>
          <w:b/>
          <w:bCs/>
          <w:color w:val="333333"/>
          <w:sz w:val="18"/>
          <w:szCs w:val="18"/>
          <w:lang w:val="en-US"/>
        </w:rPr>
      </w:pPr>
      <w:bookmarkStart w:id="73" w:name="达标统计表"/>
      <w:bookmarkEnd w:id="73"/>
    </w:p>
    <w:p>
      <w:pPr>
        <w:spacing w:line="360" w:lineRule="exact"/>
        <w:ind w:firstLine="420"/>
        <w:rPr>
          <w:sz w:val="18"/>
          <w:szCs w:val="18"/>
        </w:rPr>
      </w:pPr>
      <w:bookmarkStart w:id="74" w:name="_Toc13735925"/>
      <w:r>
        <w:rPr>
          <w:rFonts w:hint="eastAsia"/>
          <w:sz w:val="18"/>
          <w:szCs w:val="18"/>
        </w:rPr>
        <w:t>说明：建筑整体的PMV-PPD达标面积比例按照建筑各主要功能房间的计算值进行面积加权平均得出。</w:t>
      </w:r>
    </w:p>
    <w:p>
      <w:pPr>
        <w:pStyle w:val="2"/>
        <w:spacing w:before="312"/>
      </w:pPr>
      <w:bookmarkStart w:id="75" w:name="_Toc2235"/>
      <w:r>
        <w:rPr>
          <w:rFonts w:hint="eastAsia"/>
        </w:rPr>
        <w:t>结论</w:t>
      </w:r>
      <w:bookmarkEnd w:id="74"/>
      <w:bookmarkEnd w:id="75"/>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pPr>
        <w:pStyle w:val="3"/>
        <w:ind w:firstLine="420"/>
        <w:rPr>
          <w:rFonts w:ascii="微软雅黑" w:hAnsi="微软雅黑" w:eastAsia="微软雅黑"/>
          <w:lang w:val="en-US"/>
        </w:rPr>
      </w:pPr>
      <w:r>
        <w:rPr>
          <w:rFonts w:ascii="微软雅黑" w:hAnsi="微软雅黑" w:eastAsia="微软雅黑"/>
          <w:lang w:val="en-US"/>
        </w:rPr>
        <w:br w:type="page"/>
      </w:r>
    </w:p>
    <w:bookmarkEnd w:id="39"/>
    <w:bookmarkEnd w:id="46"/>
    <w:bookmarkEnd w:id="47"/>
    <w:p>
      <w:pPr>
        <w:pStyle w:val="2"/>
        <w:spacing w:before="312"/>
      </w:pPr>
      <w:bookmarkStart w:id="78" w:name="_Toc21548"/>
      <w:bookmarkStart w:id="79" w:name="附录"/>
      <w:r>
        <w:rPr>
          <w:rFonts w:hint="eastAsia"/>
        </w:rPr>
        <w:t>附录：</w:t>
      </w:r>
      <w:r>
        <w:t>房间分析</w:t>
      </w:r>
      <w:r>
        <w:rPr>
          <w:rFonts w:hint="eastAsia"/>
        </w:rPr>
        <w:t>图</w:t>
      </w:r>
      <w:bookmarkEnd w:id="78"/>
    </w:p>
    <w:p>
      <w:pPr>
        <w:pStyle w:val="4"/>
      </w:pPr>
      <w:bookmarkStart w:id="80" w:name="_Toc183"/>
      <w:r>
        <w:t>2004[报告厅]</w:t>
      </w:r>
      <w:bookmarkEnd w:id="0"/>
      <w:bookmarkEnd w:id="80"/>
    </w:p>
    <w:bookmarkEnd w:id="4"/>
    <w:bookmarkEnd w:id="5"/>
    <w:p>
      <w:pPr>
        <w:jc w:val="cente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bookmarkEnd w:id="9"/>
    <w:p>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pPr>
        <w:jc w:val="center"/>
      </w:pPr>
    </w:p>
    <w:p>
      <w:pPr>
        <w:jc w:val="center"/>
      </w:pPr>
    </w:p>
    <w:p>
      <w:pPr>
        <w:jc w:val="center"/>
      </w:pPr>
      <w:bookmarkStart w:id="81" w:name="房间结果分析"/>
      <w:bookmarkEnd w:id="81"/>
    </w:p>
    <w:bookmarkEnd w:id="79"/>
    <w:p>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2840" w:type="dxa"/>
          <w:shd w:val="clear" w:color="auto" w:fill="auto"/>
        </w:tcPr>
        <w:p>
          <w:pPr>
            <w:pStyle w:val="17"/>
            <w:rPr>
              <w:sz w:val="20"/>
              <w:szCs w:val="21"/>
            </w:rPr>
          </w:pPr>
        </w:p>
      </w:tc>
      <w:tc>
        <w:tcPr>
          <w:tcW w:w="2841" w:type="dxa"/>
          <w:shd w:val="clear" w:color="auto" w:fill="auto"/>
        </w:tcPr>
        <w:p>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pPr>
            <w:pStyle w:val="17"/>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A167D"/>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43FA1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qFormat/>
    <w:uiPriority w:val="0"/>
    <w:pPr>
      <w:snapToGrid w:val="0"/>
    </w:pPr>
    <w:rPr>
      <w:sz w:val="18"/>
      <w:szCs w:val="18"/>
    </w:rPr>
  </w:style>
  <w:style w:type="paragraph" w:styleId="21">
    <w:name w:val="toc 2"/>
    <w:basedOn w:val="1"/>
    <w:next w:val="1"/>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qFormat/>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9\AppData\Local\Temp\tmp7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tmp76.dotx</Template>
  <Pages>17</Pages>
  <Words>2770</Words>
  <Characters>3665</Characters>
  <Lines>37</Lines>
  <Paragraphs>10</Paragraphs>
  <TotalTime>22</TotalTime>
  <ScaleCrop>false</ScaleCrop>
  <LinksUpToDate>false</LinksUpToDate>
  <CharactersWithSpaces>3827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2025-12-30T05:41:00Z</dcterms:created>
  <dc:creator>WPS_1660465809</dc:creator>
  <cp:lastModifiedBy>WPS_1660465809</cp:lastModifiedBy>
  <dcterms:modified xsi:type="dcterms:W3CDTF">2025-12-30T06:03:59Z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DF33EB83451B482AB162803C9BD00FC8_12</vt:lpwstr>
  </property>
</Properties>
</file>