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64"/>
        <w:gridCol w:w="1613"/>
        <w:gridCol w:w="962"/>
        <w:gridCol w:w="707"/>
        <w:gridCol w:w="707"/>
        <w:gridCol w:w="933"/>
        <w:gridCol w:w="933"/>
        <w:gridCol w:w="962"/>
        <w:gridCol w:w="9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对标功能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均匀度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1026[大厅]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大堂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1001[大厅]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大堂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2.95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1007[健身房]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健身房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1008[健身房]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健身房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2.91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1009[餐厅]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3.42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1015[普通办公室]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3.47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1022[会议室]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11.68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3.61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1023[会议室]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11.75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1024[会议室]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11.74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3.61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1037[会议室]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A-2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2002[大厅]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大堂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2006[阅览室]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2016[会议室]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2019[档案室]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2020[密集办公室]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2021[会议室]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16.49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2036[普通办公室]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2039[高档办公室]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2040[会议室]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2042[会议室]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7.51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b:2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b-2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2004[报告厅]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15.94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2025[大厅]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大堂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</w:tbl>
    <w:p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F24AB"/>
    <w:rsid w:val="001915A3"/>
    <w:rsid w:val="00217F62"/>
    <w:rsid w:val="00A906D8"/>
    <w:rsid w:val="00AB5A74"/>
    <w:rsid w:val="00F071AE"/>
    <w:rsid w:val="676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qFormat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T\AppData\Local\Temp\tmp15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Pages>1</Pages>
  <Words>388</Words>
  <Characters>731</Characters>
  <TotalTime>0</TotalTime>
  <ScaleCrop>false</ScaleCrop>
  <LinksUpToDate>false</LinksUpToDate>
  <CharactersWithSpaces>731</CharactersWithSpaces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2025-12-29T07:18:00Z</dcterms:created>
  <dc:creator>侯国通</dc:creator>
  <cp:lastModifiedBy>侯国通</cp:lastModifiedBy>
  <dcterms:modified xsi:type="dcterms:W3CDTF">2025-12-29T07:19:30Z</dcterms:modified>
  <dc:title>采光均匀度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