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81EB" w14:textId="0DE0844D" w:rsidR="00821EBB" w:rsidRDefault="00000000" w:rsidP="008E7111">
      <w:pPr>
        <w:pStyle w:val="1"/>
      </w:pPr>
      <w:r>
        <w:t>黄山歙县徽城镇历史街区改造项目隔</w:t>
      </w:r>
      <w:proofErr w:type="gramStart"/>
      <w:r>
        <w:t>震设施</w:t>
      </w:r>
      <w:proofErr w:type="gramEnd"/>
      <w:r>
        <w:t>及消能减震构件检测检验报告</w:t>
      </w:r>
    </w:p>
    <w:p w14:paraId="25F19AC4" w14:textId="77777777" w:rsidR="00821EBB" w:rsidRDefault="00000000">
      <w:pPr>
        <w:pStyle w:val="20"/>
      </w:pPr>
      <w:r>
        <w:rPr>
          <w:b/>
          <w:bCs/>
        </w:rPr>
        <w:t>依据标准</w:t>
      </w:r>
      <w:r>
        <w:t>：</w:t>
      </w:r>
    </w:p>
    <w:p w14:paraId="40CB298B" w14:textId="77777777" w:rsidR="00821EBB" w:rsidRDefault="00000000">
      <w:pPr>
        <w:pStyle w:val="20"/>
        <w:numPr>
          <w:ilvl w:val="0"/>
          <w:numId w:val="1"/>
        </w:numPr>
      </w:pPr>
      <w:r>
        <w:t>《建筑与市政工程抗震通用规范》（</w:t>
      </w:r>
      <w:r>
        <w:t>GB 55002-2021</w:t>
      </w:r>
      <w:r>
        <w:t>）</w:t>
      </w:r>
    </w:p>
    <w:p w14:paraId="4D059941" w14:textId="77777777" w:rsidR="00821EBB" w:rsidRDefault="00000000">
      <w:pPr>
        <w:pStyle w:val="20"/>
        <w:numPr>
          <w:ilvl w:val="0"/>
          <w:numId w:val="1"/>
        </w:numPr>
      </w:pPr>
      <w:r>
        <w:t>《建筑消能阻尼器》（</w:t>
      </w:r>
      <w:r>
        <w:t>JG/T 209-2012</w:t>
      </w:r>
      <w:r>
        <w:t>）</w:t>
      </w:r>
    </w:p>
    <w:p w14:paraId="6AD531B2" w14:textId="77777777" w:rsidR="00821EBB" w:rsidRDefault="00000000">
      <w:pPr>
        <w:pStyle w:val="20"/>
        <w:numPr>
          <w:ilvl w:val="0"/>
          <w:numId w:val="1"/>
        </w:numPr>
      </w:pPr>
      <w:r>
        <w:t>《建设工程抗震管理条例》（</w:t>
      </w:r>
      <w:proofErr w:type="gramStart"/>
      <w:r>
        <w:t>国务院令第</w:t>
      </w:r>
      <w:proofErr w:type="gramEnd"/>
      <w:r>
        <w:t xml:space="preserve"> 744 </w:t>
      </w:r>
      <w:r>
        <w:t>号）</w:t>
      </w:r>
    </w:p>
    <w:p w14:paraId="0FE066C3" w14:textId="77777777" w:rsidR="00821EBB" w:rsidRDefault="00000000">
      <w:pPr>
        <w:pStyle w:val="20"/>
        <w:numPr>
          <w:ilvl w:val="0"/>
          <w:numId w:val="1"/>
        </w:numPr>
      </w:pPr>
      <w:r>
        <w:t>《建筑抗震加固技术规程》（</w:t>
      </w:r>
      <w:r>
        <w:t>JGJ 116-2009</w:t>
      </w:r>
      <w:r>
        <w:t>）</w:t>
      </w:r>
    </w:p>
    <w:p w14:paraId="2ED30C4D" w14:textId="77777777" w:rsidR="00821EBB" w:rsidRDefault="00000000">
      <w:pPr>
        <w:pStyle w:val="20"/>
        <w:numPr>
          <w:ilvl w:val="0"/>
          <w:numId w:val="1"/>
        </w:numPr>
      </w:pPr>
      <w:r>
        <w:t>项目抗震设计专篇技术要求</w:t>
      </w:r>
    </w:p>
    <w:p w14:paraId="718BA80F" w14:textId="77777777" w:rsidR="00821EBB" w:rsidRDefault="00000000">
      <w:pPr>
        <w:pStyle w:val="2"/>
      </w:pPr>
      <w:r>
        <w:t>一、检测概况</w:t>
      </w:r>
    </w:p>
    <w:p w14:paraId="15BB293C" w14:textId="77777777" w:rsidR="00821EBB" w:rsidRDefault="00000000">
      <w:pPr>
        <w:pStyle w:val="3"/>
      </w:pPr>
      <w:r>
        <w:t xml:space="preserve">1.1 </w:t>
      </w:r>
      <w:r>
        <w:t>检测对象及用途</w:t>
      </w:r>
    </w:p>
    <w:p w14:paraId="482997EC" w14:textId="77777777" w:rsidR="00821EBB" w:rsidRDefault="00821EB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2216"/>
        <w:gridCol w:w="1701"/>
        <w:gridCol w:w="1701"/>
        <w:gridCol w:w="1701"/>
      </w:tblGrid>
      <w:tr w:rsidR="008E7111" w14:paraId="736E68A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60A41" w14:textId="77777777" w:rsidR="00821EBB" w:rsidRDefault="00000000">
            <w:pPr>
              <w:pStyle w:val="20"/>
            </w:pPr>
            <w:r>
              <w:t>构件类型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4516E" w14:textId="77777777" w:rsidR="00821EBB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A4BF81" w14:textId="77777777" w:rsidR="00821EBB" w:rsidRDefault="00000000">
            <w:pPr>
              <w:pStyle w:val="20"/>
            </w:pPr>
            <w:r>
              <w:t>应用区域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5389D5" w14:textId="77777777" w:rsidR="00821EBB" w:rsidRDefault="00000000">
            <w:pPr>
              <w:pStyle w:val="20"/>
            </w:pPr>
            <w:r>
              <w:t>设计功能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DBA5A4" w14:textId="77777777" w:rsidR="00821EBB" w:rsidRDefault="00000000">
            <w:pPr>
              <w:pStyle w:val="20"/>
            </w:pPr>
            <w:r>
              <w:t>取样数量</w:t>
            </w:r>
          </w:p>
        </w:tc>
      </w:tr>
      <w:tr w:rsidR="008E7111" w14:paraId="4639773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B2CED3" w14:textId="77777777" w:rsidR="00821EBB" w:rsidRDefault="00000000">
            <w:pPr>
              <w:pStyle w:val="20"/>
            </w:pPr>
            <w:r>
              <w:t>橡胶隔震支座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B558FA" w14:textId="77777777" w:rsidR="00821EBB" w:rsidRDefault="00000000">
            <w:pPr>
              <w:pStyle w:val="20"/>
            </w:pPr>
            <w:r>
              <w:t>LNR500×180</w:t>
            </w:r>
            <w:r>
              <w:t>（直径</w:t>
            </w:r>
            <w:r>
              <w:t xml:space="preserve"> 500mm</w:t>
            </w:r>
            <w:r>
              <w:t>，高度</w:t>
            </w:r>
            <w:r>
              <w:t xml:space="preserve"> 180mm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3776A" w14:textId="77777777" w:rsidR="00821EBB" w:rsidRDefault="00000000">
            <w:pPr>
              <w:pStyle w:val="20"/>
            </w:pPr>
            <w:r>
              <w:t>历史建筑区（</w:t>
            </w:r>
            <w:r>
              <w:t xml:space="preserve">A </w:t>
            </w:r>
            <w:r>
              <w:t>区）木</w:t>
            </w:r>
            <w:proofErr w:type="gramStart"/>
            <w:r>
              <w:t>构基础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A8FC71" w14:textId="77777777" w:rsidR="00821EBB" w:rsidRDefault="00000000">
            <w:pPr>
              <w:pStyle w:val="20"/>
            </w:pPr>
            <w:r>
              <w:t>隔离地震水平作用，减小结构响应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E95A49" w14:textId="77777777" w:rsidR="00821EBB" w:rsidRDefault="00000000">
            <w:pPr>
              <w:pStyle w:val="20"/>
            </w:pPr>
            <w:r>
              <w:t xml:space="preserve">3 </w:t>
            </w:r>
            <w:r>
              <w:t>套（见证取样）</w:t>
            </w:r>
          </w:p>
        </w:tc>
      </w:tr>
      <w:tr w:rsidR="008E7111" w14:paraId="7BAF229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E5005" w14:textId="77777777" w:rsidR="00821EBB" w:rsidRDefault="00000000">
            <w:pPr>
              <w:pStyle w:val="20"/>
            </w:pPr>
            <w:r>
              <w:t>屈曲约束支撑（消能构件）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092A7" w14:textId="77777777" w:rsidR="00821EBB" w:rsidRDefault="00000000">
            <w:pPr>
              <w:pStyle w:val="20"/>
            </w:pPr>
            <w:r>
              <w:t>BRB-300×100×12</w:t>
            </w:r>
            <w:r>
              <w:t>（芯材截面</w:t>
            </w:r>
            <w:r>
              <w:t xml:space="preserve"> 300×100mm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6EB69" w14:textId="77777777" w:rsidR="00821EBB" w:rsidRDefault="00000000">
            <w:pPr>
              <w:pStyle w:val="20"/>
            </w:pPr>
            <w:r>
              <w:t>新建商业区（</w:t>
            </w:r>
            <w:r>
              <w:t xml:space="preserve">B </w:t>
            </w:r>
            <w:r>
              <w:t>区）框架结构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71CD59" w14:textId="77777777" w:rsidR="00821EBB" w:rsidRDefault="00000000">
            <w:pPr>
              <w:pStyle w:val="20"/>
            </w:pPr>
            <w:r>
              <w:t>耗散地震能量，提升</w:t>
            </w:r>
            <w:proofErr w:type="gramStart"/>
            <w:r>
              <w:t>结构抗侧刚度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DF9DA1" w14:textId="77777777" w:rsidR="00821EBB" w:rsidRDefault="00000000">
            <w:pPr>
              <w:pStyle w:val="20"/>
            </w:pPr>
            <w:r>
              <w:t xml:space="preserve">3 </w:t>
            </w:r>
            <w:r>
              <w:t>根（见证取样）</w:t>
            </w:r>
          </w:p>
        </w:tc>
      </w:tr>
      <w:tr w:rsidR="008E7111" w14:paraId="20B0733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CE2943" w14:textId="77777777" w:rsidR="00821EBB" w:rsidRDefault="00000000">
            <w:pPr>
              <w:pStyle w:val="20"/>
            </w:pPr>
            <w:r>
              <w:t>粘滞阻尼器（消能构件）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11AA4E" w14:textId="77777777" w:rsidR="00821EBB" w:rsidRDefault="00000000">
            <w:pPr>
              <w:pStyle w:val="20"/>
            </w:pPr>
            <w:r>
              <w:t>VFD-200</w:t>
            </w:r>
            <w:r>
              <w:t>（额定阻尼力</w:t>
            </w:r>
            <w:r>
              <w:t xml:space="preserve"> 200kN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BF70AB" w14:textId="77777777" w:rsidR="00821EBB" w:rsidRDefault="00000000">
            <w:pPr>
              <w:pStyle w:val="20"/>
            </w:pPr>
            <w:r>
              <w:t>历史建筑区（</w:t>
            </w:r>
            <w:r>
              <w:t xml:space="preserve">A </w:t>
            </w:r>
            <w:r>
              <w:t>区）砌体</w:t>
            </w:r>
            <w:r>
              <w:t xml:space="preserve"> - </w:t>
            </w:r>
            <w:r>
              <w:t>木构节点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520D0A" w14:textId="77777777" w:rsidR="00821EBB" w:rsidRDefault="00000000">
            <w:pPr>
              <w:pStyle w:val="20"/>
            </w:pPr>
            <w:r>
              <w:t>缓冲节点振动，保护</w:t>
            </w:r>
            <w:proofErr w:type="gramStart"/>
            <w:r>
              <w:t>榫</w:t>
            </w:r>
            <w:proofErr w:type="gramEnd"/>
            <w:r>
              <w:t>卯连接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CB05F5" w14:textId="77777777" w:rsidR="00821EBB" w:rsidRDefault="00000000">
            <w:pPr>
              <w:pStyle w:val="20"/>
            </w:pPr>
            <w:r>
              <w:t xml:space="preserve">2 </w:t>
            </w:r>
            <w:r>
              <w:t>台（见证取样）</w:t>
            </w:r>
          </w:p>
        </w:tc>
      </w:tr>
    </w:tbl>
    <w:p w14:paraId="2C414F37" w14:textId="77777777" w:rsidR="00821EBB" w:rsidRDefault="00000000">
      <w:pPr>
        <w:pStyle w:val="3"/>
      </w:pPr>
      <w:r>
        <w:t xml:space="preserve">1.2 </w:t>
      </w:r>
      <w:r>
        <w:t>检测类型及流程</w:t>
      </w:r>
    </w:p>
    <w:p w14:paraId="6088ADF8" w14:textId="77777777" w:rsidR="00821EBB" w:rsidRDefault="00000000">
      <w:pPr>
        <w:pStyle w:val="20"/>
        <w:numPr>
          <w:ilvl w:val="0"/>
          <w:numId w:val="2"/>
        </w:numPr>
      </w:pPr>
      <w:r>
        <w:t>检测类型：型式检验</w:t>
      </w:r>
      <w:r>
        <w:t xml:space="preserve"> + </w:t>
      </w:r>
      <w:r>
        <w:t>进场见证检验（依据《建设工程抗震管理条例》第十八条要求）</w:t>
      </w:r>
    </w:p>
    <w:p w14:paraId="7686FDC0" w14:textId="77777777" w:rsidR="00821EBB" w:rsidRDefault="00000000">
      <w:pPr>
        <w:pStyle w:val="20"/>
        <w:numPr>
          <w:ilvl w:val="0"/>
          <w:numId w:val="2"/>
        </w:numPr>
      </w:pPr>
      <w:r>
        <w:t>检测流程：样品接收</w:t>
      </w:r>
      <w:r>
        <w:t>→</w:t>
      </w:r>
      <w:r>
        <w:t>外观尺寸核查</w:t>
      </w:r>
      <w:r>
        <w:t>→</w:t>
      </w:r>
      <w:r>
        <w:t>力学性能测试</w:t>
      </w:r>
      <w:r>
        <w:t>→</w:t>
      </w:r>
      <w:r>
        <w:t>耐久性测试</w:t>
      </w:r>
      <w:r>
        <w:t>→</w:t>
      </w:r>
      <w:r>
        <w:t>数据处理</w:t>
      </w:r>
      <w:r>
        <w:t>→</w:t>
      </w:r>
      <w:r>
        <w:t>结论判定</w:t>
      </w:r>
    </w:p>
    <w:p w14:paraId="33C195DA" w14:textId="77777777" w:rsidR="00821EBB" w:rsidRDefault="00000000">
      <w:pPr>
        <w:pStyle w:val="20"/>
        <w:numPr>
          <w:ilvl w:val="0"/>
          <w:numId w:val="2"/>
        </w:numPr>
      </w:pPr>
      <w:r>
        <w:lastRenderedPageBreak/>
        <w:t>取样方式：施工单位、监理单位共同见证取样，样品唯一编码追溯（编码：</w:t>
      </w:r>
      <w:r>
        <w:t>GZZ-2026-0315-001~008</w:t>
      </w:r>
      <w:r>
        <w:t>）</w:t>
      </w:r>
    </w:p>
    <w:p w14:paraId="249EA3A3" w14:textId="77777777" w:rsidR="00821EBB" w:rsidRDefault="00000000">
      <w:pPr>
        <w:pStyle w:val="2"/>
      </w:pPr>
      <w:r>
        <w:t>二、隔震设施（橡胶隔震支座）检测结果</w:t>
      </w:r>
    </w:p>
    <w:p w14:paraId="74F87D14" w14:textId="77777777" w:rsidR="00821EBB" w:rsidRDefault="00000000">
      <w:pPr>
        <w:pStyle w:val="3"/>
      </w:pPr>
      <w:r>
        <w:t xml:space="preserve">2.1 </w:t>
      </w:r>
      <w:r>
        <w:t>外观及尺寸偏差检测</w:t>
      </w:r>
    </w:p>
    <w:p w14:paraId="7BE35270" w14:textId="77777777" w:rsidR="00821EBB" w:rsidRDefault="00821EB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3"/>
        <w:gridCol w:w="2295"/>
        <w:gridCol w:w="2401"/>
        <w:gridCol w:w="2162"/>
      </w:tblGrid>
      <w:tr w:rsidR="008E7111" w14:paraId="6DA81D2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DE7B5C" w14:textId="77777777" w:rsidR="00821EBB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F6F2F" w14:textId="77777777" w:rsidR="00821EBB" w:rsidRDefault="00000000">
            <w:pPr>
              <w:pStyle w:val="20"/>
            </w:pPr>
            <w:r>
              <w:t>标准要求（</w:t>
            </w:r>
            <w:r>
              <w:t>JG/T 209-2012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C93417" w14:textId="77777777" w:rsidR="00821EBB" w:rsidRDefault="00000000">
            <w:pPr>
              <w:pStyle w:val="20"/>
            </w:pPr>
            <w:r>
              <w:t>实测结果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E04447" w14:textId="77777777" w:rsidR="00821EBB" w:rsidRDefault="00000000">
            <w:pPr>
              <w:pStyle w:val="20"/>
            </w:pPr>
            <w:r>
              <w:t>单项评定</w:t>
            </w:r>
          </w:p>
        </w:tc>
      </w:tr>
      <w:tr w:rsidR="008E7111" w14:paraId="12DFD6B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7428D4" w14:textId="77777777" w:rsidR="00821EBB" w:rsidRDefault="00000000">
            <w:pPr>
              <w:pStyle w:val="20"/>
            </w:pPr>
            <w:r>
              <w:t>支座直径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F32FE" w14:textId="77777777" w:rsidR="00821EBB" w:rsidRDefault="00000000">
            <w:pPr>
              <w:pStyle w:val="20"/>
            </w:pPr>
            <w:r>
              <w:t>偏差</w:t>
            </w:r>
            <w:r>
              <w:t>≤±3mm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41C47" w14:textId="77777777" w:rsidR="00821EBB" w:rsidRDefault="00000000">
            <w:pPr>
              <w:pStyle w:val="20"/>
            </w:pPr>
            <w:r>
              <w:t>500.2mm</w:t>
            </w:r>
            <w:r>
              <w:t>、</w:t>
            </w:r>
            <w:r>
              <w:t>499.8mm</w:t>
            </w:r>
            <w:r>
              <w:t>、</w:t>
            </w:r>
            <w:r>
              <w:t>500.1mm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9DC01C" w14:textId="77777777" w:rsidR="00821EBB" w:rsidRDefault="00000000">
            <w:pPr>
              <w:pStyle w:val="20"/>
            </w:pPr>
            <w:r>
              <w:t>合格</w:t>
            </w:r>
          </w:p>
        </w:tc>
      </w:tr>
      <w:tr w:rsidR="008E7111" w14:paraId="0E87676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D6E45" w14:textId="77777777" w:rsidR="00821EBB" w:rsidRDefault="00000000">
            <w:pPr>
              <w:pStyle w:val="20"/>
            </w:pPr>
            <w:r>
              <w:t>支座高度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BC1898" w14:textId="77777777" w:rsidR="00821EBB" w:rsidRDefault="00000000">
            <w:pPr>
              <w:pStyle w:val="20"/>
            </w:pPr>
            <w:r>
              <w:t>偏差</w:t>
            </w:r>
            <w:r>
              <w:t>≤±2mm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85CA8" w14:textId="77777777" w:rsidR="00821EBB" w:rsidRDefault="00000000">
            <w:pPr>
              <w:pStyle w:val="20"/>
            </w:pPr>
            <w:r>
              <w:t>180.1mm</w:t>
            </w:r>
            <w:r>
              <w:t>、</w:t>
            </w:r>
            <w:r>
              <w:t>179.9mm</w:t>
            </w:r>
            <w:r>
              <w:t>、</w:t>
            </w:r>
            <w:r>
              <w:t>180.0mm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D75FEB" w14:textId="77777777" w:rsidR="00821EBB" w:rsidRDefault="00000000">
            <w:pPr>
              <w:pStyle w:val="20"/>
            </w:pPr>
            <w:r>
              <w:t>合格</w:t>
            </w:r>
          </w:p>
        </w:tc>
      </w:tr>
      <w:tr w:rsidR="008E7111" w14:paraId="23D1F2D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96BA9F" w14:textId="77777777" w:rsidR="00821EBB" w:rsidRDefault="00000000">
            <w:pPr>
              <w:pStyle w:val="20"/>
            </w:pPr>
            <w:r>
              <w:t>橡胶层厚度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826EA7" w14:textId="77777777" w:rsidR="00821EBB" w:rsidRDefault="00000000">
            <w:pPr>
              <w:pStyle w:val="20"/>
            </w:pPr>
            <w:r>
              <w:t>均匀性偏差</w:t>
            </w:r>
            <w:r>
              <w:t>≤1mm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DBF77B" w14:textId="77777777" w:rsidR="00821EBB" w:rsidRDefault="00000000">
            <w:pPr>
              <w:pStyle w:val="20"/>
            </w:pPr>
            <w:r>
              <w:t>各层厚度偏差</w:t>
            </w:r>
            <w:r>
              <w:t>≤0.8mm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B1D1FF" w14:textId="77777777" w:rsidR="00821EBB" w:rsidRDefault="00000000">
            <w:pPr>
              <w:pStyle w:val="20"/>
            </w:pPr>
            <w:r>
              <w:t>合格</w:t>
            </w:r>
          </w:p>
        </w:tc>
      </w:tr>
      <w:tr w:rsidR="008E7111" w14:paraId="571C1A3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5DD55B" w14:textId="77777777" w:rsidR="00821EBB" w:rsidRDefault="00000000">
            <w:pPr>
              <w:pStyle w:val="20"/>
            </w:pPr>
            <w:r>
              <w:t>外观质量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CEE730" w14:textId="77777777" w:rsidR="00821EBB" w:rsidRDefault="00000000">
            <w:pPr>
              <w:pStyle w:val="20"/>
            </w:pPr>
            <w:r>
              <w:t>无裂纹、气泡、缺胶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880230" w14:textId="77777777" w:rsidR="00821EBB" w:rsidRDefault="00000000">
            <w:pPr>
              <w:pStyle w:val="20"/>
            </w:pPr>
            <w:r>
              <w:t>表面平整，无缺陷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C8DEE8" w14:textId="77777777" w:rsidR="00821EBB" w:rsidRDefault="00000000">
            <w:pPr>
              <w:pStyle w:val="20"/>
            </w:pPr>
            <w:r>
              <w:t>合格</w:t>
            </w:r>
          </w:p>
        </w:tc>
      </w:tr>
      <w:tr w:rsidR="008E7111" w14:paraId="35E084C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275339" w14:textId="77777777" w:rsidR="00821EBB" w:rsidRDefault="00000000">
            <w:pPr>
              <w:pStyle w:val="20"/>
            </w:pPr>
            <w:r>
              <w:t>钢板锚固状况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0B355" w14:textId="77777777" w:rsidR="00821EBB" w:rsidRDefault="00000000">
            <w:pPr>
              <w:pStyle w:val="20"/>
            </w:pPr>
            <w:r>
              <w:t>无松动、锈蚀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DCA703" w14:textId="77777777" w:rsidR="00821EBB" w:rsidRDefault="00000000">
            <w:pPr>
              <w:pStyle w:val="20"/>
            </w:pPr>
            <w:r>
              <w:t>钢板与橡胶粘结牢固，无锈蚀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FFDD7B" w14:textId="77777777" w:rsidR="00821EBB" w:rsidRDefault="00000000">
            <w:pPr>
              <w:pStyle w:val="20"/>
            </w:pPr>
            <w:r>
              <w:t>合格</w:t>
            </w:r>
          </w:p>
        </w:tc>
      </w:tr>
    </w:tbl>
    <w:p w14:paraId="0152E957" w14:textId="77777777" w:rsidR="00821EBB" w:rsidRDefault="00000000">
      <w:pPr>
        <w:pStyle w:val="3"/>
      </w:pPr>
      <w:r>
        <w:t xml:space="preserve">2.2 </w:t>
      </w:r>
      <w:r>
        <w:t>核心力学性能检测</w:t>
      </w:r>
    </w:p>
    <w:p w14:paraId="64CE6BAC" w14:textId="77777777" w:rsidR="00821EBB" w:rsidRDefault="00821EB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1"/>
        <w:gridCol w:w="2384"/>
        <w:gridCol w:w="2358"/>
        <w:gridCol w:w="2108"/>
      </w:tblGrid>
      <w:tr w:rsidR="008E7111" w14:paraId="6B77917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0580BF" w14:textId="77777777" w:rsidR="00821EBB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290DD6" w14:textId="77777777" w:rsidR="00821EBB" w:rsidRDefault="00000000">
            <w:pPr>
              <w:pStyle w:val="20"/>
            </w:pPr>
            <w:r>
              <w:t>设计要求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4742E" w14:textId="77777777" w:rsidR="00821EBB" w:rsidRDefault="00000000">
            <w:pPr>
              <w:pStyle w:val="20"/>
            </w:pPr>
            <w:r>
              <w:t>实测结果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E9CD58" w14:textId="77777777" w:rsidR="00821EBB" w:rsidRDefault="00000000">
            <w:pPr>
              <w:pStyle w:val="20"/>
            </w:pPr>
            <w:r>
              <w:t>单项评定</w:t>
            </w:r>
          </w:p>
        </w:tc>
      </w:tr>
      <w:tr w:rsidR="008E7111" w14:paraId="0EFA73E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157799" w14:textId="77777777" w:rsidR="00821EBB" w:rsidRDefault="00000000">
            <w:pPr>
              <w:pStyle w:val="20"/>
            </w:pPr>
            <w:r>
              <w:t>静态竖向承载力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9A06EC" w14:textId="77777777" w:rsidR="00821EBB" w:rsidRDefault="00000000">
            <w:pPr>
              <w:pStyle w:val="20"/>
            </w:pPr>
            <w:r>
              <w:t>≥3000kN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083326" w14:textId="77777777" w:rsidR="00821EBB" w:rsidRDefault="00000000">
            <w:pPr>
              <w:pStyle w:val="20"/>
            </w:pPr>
            <w:r>
              <w:t>3250kN</w:t>
            </w:r>
            <w:r>
              <w:t>、</w:t>
            </w:r>
            <w:r>
              <w:t>3320kN</w:t>
            </w:r>
            <w:r>
              <w:t>、</w:t>
            </w:r>
            <w:r>
              <w:t>3280kN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9F011D" w14:textId="77777777" w:rsidR="00821EBB" w:rsidRDefault="00000000">
            <w:pPr>
              <w:pStyle w:val="20"/>
            </w:pPr>
            <w:r>
              <w:t>合格</w:t>
            </w:r>
          </w:p>
        </w:tc>
      </w:tr>
      <w:tr w:rsidR="008E7111" w14:paraId="4543463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C3703" w14:textId="77777777" w:rsidR="00821EBB" w:rsidRDefault="00000000">
            <w:pPr>
              <w:pStyle w:val="20"/>
            </w:pPr>
            <w:r>
              <w:t>水平刚度（剪切模量）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73160" w14:textId="77777777" w:rsidR="00821EBB" w:rsidRDefault="00000000">
            <w:pPr>
              <w:pStyle w:val="20"/>
            </w:pPr>
            <w:r>
              <w:t>0.8~1.2MPa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CE0E0F" w14:textId="77777777" w:rsidR="00821EBB" w:rsidRDefault="00000000">
            <w:pPr>
              <w:pStyle w:val="20"/>
            </w:pPr>
            <w:r>
              <w:t>1.05MPa</w:t>
            </w:r>
            <w:r>
              <w:t>、</w:t>
            </w:r>
            <w:r>
              <w:t>1.02MPa</w:t>
            </w:r>
            <w:r>
              <w:t>、</w:t>
            </w:r>
            <w:r>
              <w:t>1.08MPa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FE3BA7" w14:textId="77777777" w:rsidR="00821EBB" w:rsidRDefault="00000000">
            <w:pPr>
              <w:pStyle w:val="20"/>
            </w:pPr>
            <w:r>
              <w:t>合格</w:t>
            </w:r>
          </w:p>
        </w:tc>
      </w:tr>
      <w:tr w:rsidR="008E7111" w14:paraId="65E39FF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E98FEF" w14:textId="77777777" w:rsidR="00821EBB" w:rsidRDefault="00000000">
            <w:pPr>
              <w:pStyle w:val="20"/>
            </w:pPr>
            <w:r>
              <w:t>阻尼比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43A980" w14:textId="77777777" w:rsidR="00821EBB" w:rsidRDefault="00000000">
            <w:pPr>
              <w:pStyle w:val="20"/>
            </w:pPr>
            <w:r>
              <w:t>≥12%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A7FFF" w14:textId="77777777" w:rsidR="00821EBB" w:rsidRDefault="00000000">
            <w:pPr>
              <w:pStyle w:val="20"/>
            </w:pPr>
            <w:r>
              <w:t>15.2%</w:t>
            </w:r>
            <w:r>
              <w:t>、</w:t>
            </w:r>
            <w:r>
              <w:t>14.8%</w:t>
            </w:r>
            <w:r>
              <w:t>、</w:t>
            </w:r>
            <w:r>
              <w:t>15.5%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9D3413" w14:textId="77777777" w:rsidR="00821EBB" w:rsidRDefault="00000000">
            <w:pPr>
              <w:pStyle w:val="20"/>
            </w:pPr>
            <w:r>
              <w:t>合格</w:t>
            </w:r>
          </w:p>
        </w:tc>
      </w:tr>
      <w:tr w:rsidR="008E7111" w14:paraId="5D49DF2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7C58F0" w14:textId="77777777" w:rsidR="00821EBB" w:rsidRDefault="00000000">
            <w:pPr>
              <w:pStyle w:val="20"/>
            </w:pPr>
            <w:r>
              <w:lastRenderedPageBreak/>
              <w:t>水平极限位移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6CCE5A" w14:textId="77777777" w:rsidR="00821EBB" w:rsidRDefault="00000000">
            <w:pPr>
              <w:pStyle w:val="20"/>
            </w:pPr>
            <w:r>
              <w:t>≥±100mm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4FA09" w14:textId="77777777" w:rsidR="00821EBB" w:rsidRDefault="00000000">
            <w:pPr>
              <w:pStyle w:val="20"/>
            </w:pPr>
            <w:r>
              <w:t>±125mm</w:t>
            </w:r>
            <w:r>
              <w:t>、</w:t>
            </w:r>
            <w:r>
              <w:t>±128mm</w:t>
            </w:r>
            <w:r>
              <w:t>、</w:t>
            </w:r>
            <w:r>
              <w:t>±123mm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68EC9C" w14:textId="77777777" w:rsidR="00821EBB" w:rsidRDefault="00000000">
            <w:pPr>
              <w:pStyle w:val="20"/>
            </w:pPr>
            <w:r>
              <w:t>合格</w:t>
            </w:r>
          </w:p>
        </w:tc>
      </w:tr>
      <w:tr w:rsidR="008E7111" w14:paraId="0D8C3F5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01F99C" w14:textId="77777777" w:rsidR="00821EBB" w:rsidRDefault="00000000">
            <w:pPr>
              <w:pStyle w:val="20"/>
            </w:pPr>
            <w:r>
              <w:t>抗滑移性能（水平力）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D1C2D8" w14:textId="77777777" w:rsidR="00821EBB" w:rsidRDefault="00000000">
            <w:pPr>
              <w:pStyle w:val="20"/>
            </w:pPr>
            <w:r>
              <w:t>≥500kN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CA4F9" w14:textId="77777777" w:rsidR="00821EBB" w:rsidRDefault="00000000">
            <w:pPr>
              <w:pStyle w:val="20"/>
            </w:pPr>
            <w:r>
              <w:t>580kN</w:t>
            </w:r>
            <w:r>
              <w:t>、</w:t>
            </w:r>
            <w:r>
              <w:t>595kN</w:t>
            </w:r>
            <w:r>
              <w:t>、</w:t>
            </w:r>
            <w:r>
              <w:t>575kN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C1A964" w14:textId="77777777" w:rsidR="00821EBB" w:rsidRDefault="00000000">
            <w:pPr>
              <w:pStyle w:val="20"/>
            </w:pPr>
            <w:r>
              <w:t>合格</w:t>
            </w:r>
          </w:p>
        </w:tc>
      </w:tr>
    </w:tbl>
    <w:p w14:paraId="5867AB0D" w14:textId="77777777" w:rsidR="00821EBB" w:rsidRDefault="00000000">
      <w:pPr>
        <w:pStyle w:val="3"/>
      </w:pPr>
      <w:r>
        <w:t xml:space="preserve">2.3 </w:t>
      </w:r>
      <w:r>
        <w:t>耐久性检测</w:t>
      </w:r>
    </w:p>
    <w:p w14:paraId="1C19EA84" w14:textId="77777777" w:rsidR="00821EBB" w:rsidRDefault="00821EB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8"/>
        <w:gridCol w:w="2221"/>
        <w:gridCol w:w="2265"/>
        <w:gridCol w:w="2127"/>
      </w:tblGrid>
      <w:tr w:rsidR="008E7111" w14:paraId="20A120A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4686CC" w14:textId="77777777" w:rsidR="00821EBB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E0678" w14:textId="77777777" w:rsidR="00821EBB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AF293" w14:textId="77777777" w:rsidR="00821EBB" w:rsidRDefault="00000000">
            <w:pPr>
              <w:pStyle w:val="20"/>
            </w:pPr>
            <w:r>
              <w:t>实测结果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78C818" w14:textId="77777777" w:rsidR="00821EBB" w:rsidRDefault="00000000">
            <w:pPr>
              <w:pStyle w:val="20"/>
            </w:pPr>
            <w:r>
              <w:t>单项评定</w:t>
            </w:r>
          </w:p>
        </w:tc>
      </w:tr>
      <w:tr w:rsidR="008E7111" w14:paraId="268FBAD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6D8725" w14:textId="77777777" w:rsidR="00821EBB" w:rsidRDefault="00000000">
            <w:pPr>
              <w:pStyle w:val="20"/>
            </w:pPr>
            <w:r>
              <w:t>温度循环测试（</w:t>
            </w:r>
            <w:r>
              <w:t>-20℃~60℃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E67B4B" w14:textId="77777777" w:rsidR="00821EBB" w:rsidRDefault="00000000">
            <w:pPr>
              <w:pStyle w:val="20"/>
            </w:pPr>
            <w:r>
              <w:t>性能衰减</w:t>
            </w:r>
            <w:r>
              <w:t>≤10%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4D8D0" w14:textId="77777777" w:rsidR="00821EBB" w:rsidRDefault="00000000">
            <w:pPr>
              <w:pStyle w:val="20"/>
            </w:pPr>
            <w:r>
              <w:t>衰减率</w:t>
            </w:r>
            <w:r>
              <w:t xml:space="preserve"> 6.2%</w:t>
            </w:r>
            <w:r>
              <w:t>、</w:t>
            </w:r>
            <w:r>
              <w:t>5.8%</w:t>
            </w:r>
            <w:r>
              <w:t>、</w:t>
            </w:r>
            <w:r>
              <w:t>6.5%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CEAB55" w14:textId="77777777" w:rsidR="00821EBB" w:rsidRDefault="00000000">
            <w:pPr>
              <w:pStyle w:val="20"/>
            </w:pPr>
            <w:r>
              <w:t>合格</w:t>
            </w:r>
          </w:p>
        </w:tc>
      </w:tr>
      <w:tr w:rsidR="008E7111" w14:paraId="7E5A7FE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FE9CB8" w14:textId="77777777" w:rsidR="00821EBB" w:rsidRDefault="00000000">
            <w:pPr>
              <w:pStyle w:val="20"/>
            </w:pPr>
            <w:r>
              <w:t>老化测试（</w:t>
            </w:r>
            <w:r>
              <w:t>2000h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CF32E9" w14:textId="77777777" w:rsidR="00821EBB" w:rsidRDefault="00000000">
            <w:pPr>
              <w:pStyle w:val="20"/>
            </w:pPr>
            <w:r>
              <w:t>无明显变形、开裂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E0D60F" w14:textId="77777777" w:rsidR="00821EBB" w:rsidRDefault="00000000">
            <w:pPr>
              <w:pStyle w:val="20"/>
            </w:pPr>
            <w:r>
              <w:t>外观无变化，力学性能保持率</w:t>
            </w:r>
            <w:r>
              <w:t xml:space="preserve"> 94%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80C6E2" w14:textId="77777777" w:rsidR="00821EBB" w:rsidRDefault="00000000">
            <w:pPr>
              <w:pStyle w:val="20"/>
            </w:pPr>
            <w:r>
              <w:t>合格</w:t>
            </w:r>
          </w:p>
        </w:tc>
      </w:tr>
      <w:tr w:rsidR="008E7111" w14:paraId="2DE4D6F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E8A1EB" w14:textId="77777777" w:rsidR="00821EBB" w:rsidRDefault="00000000">
            <w:pPr>
              <w:pStyle w:val="20"/>
            </w:pPr>
            <w:r>
              <w:t>防水密封性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98A3CB" w14:textId="77777777" w:rsidR="00821EBB" w:rsidRDefault="00000000">
            <w:pPr>
              <w:pStyle w:val="20"/>
            </w:pPr>
            <w:r>
              <w:t>无渗水现象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D05A1F" w14:textId="77777777" w:rsidR="00821EBB" w:rsidRDefault="00000000">
            <w:pPr>
              <w:pStyle w:val="20"/>
            </w:pPr>
            <w:r>
              <w:t>浸泡</w:t>
            </w:r>
            <w:r>
              <w:t xml:space="preserve"> 72h </w:t>
            </w:r>
            <w:r>
              <w:t>无渗水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1E13A7" w14:textId="77777777" w:rsidR="00821EBB" w:rsidRDefault="00000000">
            <w:pPr>
              <w:pStyle w:val="20"/>
            </w:pPr>
            <w:r>
              <w:t>合格</w:t>
            </w:r>
          </w:p>
        </w:tc>
      </w:tr>
    </w:tbl>
    <w:p w14:paraId="3F16BD42" w14:textId="77777777" w:rsidR="00821EBB" w:rsidRDefault="00000000">
      <w:pPr>
        <w:pStyle w:val="2"/>
      </w:pPr>
      <w:r>
        <w:t>三、消能减震构件检测结果</w:t>
      </w:r>
    </w:p>
    <w:p w14:paraId="6667616B" w14:textId="77777777" w:rsidR="00821EBB" w:rsidRDefault="00000000">
      <w:pPr>
        <w:pStyle w:val="3"/>
      </w:pPr>
      <w:r>
        <w:t xml:space="preserve">3.1 </w:t>
      </w:r>
      <w:r>
        <w:t>屈曲约束支撑检测</w:t>
      </w:r>
    </w:p>
    <w:p w14:paraId="27113AE9" w14:textId="77777777" w:rsidR="00821EBB" w:rsidRDefault="00000000">
      <w:pPr>
        <w:pStyle w:val="4"/>
      </w:pPr>
      <w:r>
        <w:t xml:space="preserve">3.1.1 </w:t>
      </w:r>
      <w:r>
        <w:t>材料性能检测</w:t>
      </w:r>
    </w:p>
    <w:p w14:paraId="5B0DCBD8" w14:textId="77777777" w:rsidR="00821EBB" w:rsidRDefault="00821EB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3"/>
        <w:gridCol w:w="2344"/>
        <w:gridCol w:w="2370"/>
        <w:gridCol w:w="2154"/>
      </w:tblGrid>
      <w:tr w:rsidR="008E7111" w14:paraId="6E3D791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51F715" w14:textId="77777777" w:rsidR="00821EBB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80C3C2" w14:textId="77777777" w:rsidR="00821EBB" w:rsidRDefault="00000000">
            <w:pPr>
              <w:pStyle w:val="20"/>
            </w:pPr>
            <w:r>
              <w:t>标准要求（</w:t>
            </w:r>
            <w:r>
              <w:t>GB/T 700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2CF3B" w14:textId="77777777" w:rsidR="00821EBB" w:rsidRDefault="00000000">
            <w:pPr>
              <w:pStyle w:val="20"/>
            </w:pPr>
            <w:r>
              <w:t>实测结果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34D78A" w14:textId="77777777" w:rsidR="00821EBB" w:rsidRDefault="00000000">
            <w:pPr>
              <w:pStyle w:val="20"/>
            </w:pPr>
            <w:r>
              <w:t>单项评定</w:t>
            </w:r>
          </w:p>
        </w:tc>
      </w:tr>
      <w:tr w:rsidR="008E7111" w14:paraId="1A58E91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5B246C" w14:textId="77777777" w:rsidR="00821EBB" w:rsidRDefault="00000000">
            <w:pPr>
              <w:pStyle w:val="20"/>
            </w:pPr>
            <w:r>
              <w:t>芯材屈服强度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911E93" w14:textId="77777777" w:rsidR="00821EBB" w:rsidRDefault="00000000">
            <w:pPr>
              <w:pStyle w:val="20"/>
            </w:pPr>
            <w:r>
              <w:t>≥235MPa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4EB0FC" w14:textId="77777777" w:rsidR="00821EBB" w:rsidRDefault="00000000">
            <w:pPr>
              <w:pStyle w:val="20"/>
            </w:pPr>
            <w:r>
              <w:t>245MPa</w:t>
            </w:r>
            <w:r>
              <w:t>、</w:t>
            </w:r>
            <w:r>
              <w:t>242MPa</w:t>
            </w:r>
            <w:r>
              <w:t>、</w:t>
            </w:r>
            <w:r>
              <w:t>248MPa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8AD9C" w14:textId="77777777" w:rsidR="00821EBB" w:rsidRDefault="00000000">
            <w:pPr>
              <w:pStyle w:val="20"/>
            </w:pPr>
            <w:r>
              <w:t>合格</w:t>
            </w:r>
          </w:p>
        </w:tc>
      </w:tr>
      <w:tr w:rsidR="008E7111" w14:paraId="20194C3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F36375" w14:textId="77777777" w:rsidR="00821EBB" w:rsidRDefault="00000000">
            <w:pPr>
              <w:pStyle w:val="20"/>
            </w:pPr>
            <w:r>
              <w:t>芯材伸长率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3B779E" w14:textId="77777777" w:rsidR="00821EBB" w:rsidRDefault="00000000">
            <w:pPr>
              <w:pStyle w:val="20"/>
            </w:pPr>
            <w:r>
              <w:t>≥21%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8A264" w14:textId="77777777" w:rsidR="00821EBB" w:rsidRDefault="00000000">
            <w:pPr>
              <w:pStyle w:val="20"/>
            </w:pPr>
            <w:r>
              <w:t>25.3%</w:t>
            </w:r>
            <w:r>
              <w:t>、</w:t>
            </w:r>
            <w:r>
              <w:t>24.8%</w:t>
            </w:r>
            <w:r>
              <w:t>、</w:t>
            </w:r>
            <w:r>
              <w:t>25.5%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2AC6CC" w14:textId="77777777" w:rsidR="00821EBB" w:rsidRDefault="00000000">
            <w:pPr>
              <w:pStyle w:val="20"/>
            </w:pPr>
            <w:r>
              <w:t>合格</w:t>
            </w:r>
          </w:p>
        </w:tc>
      </w:tr>
      <w:tr w:rsidR="008E7111" w14:paraId="47F2DB1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8E889F" w14:textId="77777777" w:rsidR="00821EBB" w:rsidRDefault="00000000">
            <w:pPr>
              <w:pStyle w:val="20"/>
            </w:pPr>
            <w:r>
              <w:t>约束单元抗压强度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1BE1AD" w14:textId="77777777" w:rsidR="00821EBB" w:rsidRDefault="00000000">
            <w:pPr>
              <w:pStyle w:val="20"/>
            </w:pPr>
            <w:r>
              <w:t>≥300MPa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AD803D" w14:textId="77777777" w:rsidR="00821EBB" w:rsidRDefault="00000000">
            <w:pPr>
              <w:pStyle w:val="20"/>
            </w:pPr>
            <w:r>
              <w:t>320MPa</w:t>
            </w:r>
            <w:r>
              <w:t>、</w:t>
            </w:r>
            <w:r>
              <w:t>315MPa</w:t>
            </w:r>
            <w:r>
              <w:t>、</w:t>
            </w:r>
            <w:r>
              <w:t>325MPa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1D8E8F" w14:textId="77777777" w:rsidR="00821EBB" w:rsidRDefault="00000000">
            <w:pPr>
              <w:pStyle w:val="20"/>
            </w:pPr>
            <w:r>
              <w:t>合格</w:t>
            </w:r>
          </w:p>
        </w:tc>
      </w:tr>
      <w:tr w:rsidR="008E7111" w14:paraId="2EFE386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CBE4B6" w14:textId="77777777" w:rsidR="00821EBB" w:rsidRDefault="00000000">
            <w:pPr>
              <w:pStyle w:val="20"/>
            </w:pPr>
            <w:r>
              <w:lastRenderedPageBreak/>
              <w:t>焊缝质量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11EE6A" w14:textId="77777777" w:rsidR="00821EBB" w:rsidRDefault="00000000">
            <w:pPr>
              <w:pStyle w:val="20"/>
            </w:pPr>
            <w:r>
              <w:t>一级焊缝标准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F4193F" w14:textId="77777777" w:rsidR="00821EBB" w:rsidRDefault="00000000">
            <w:pPr>
              <w:pStyle w:val="20"/>
            </w:pPr>
            <w:r>
              <w:t>无气孔、夹渣，超声波检测合格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795D54" w14:textId="77777777" w:rsidR="00821EBB" w:rsidRDefault="00000000">
            <w:pPr>
              <w:pStyle w:val="20"/>
            </w:pPr>
            <w:r>
              <w:t>合格</w:t>
            </w:r>
          </w:p>
        </w:tc>
      </w:tr>
    </w:tbl>
    <w:p w14:paraId="69C5CB69" w14:textId="77777777" w:rsidR="00821EBB" w:rsidRDefault="00000000">
      <w:pPr>
        <w:pStyle w:val="4"/>
      </w:pPr>
      <w:r>
        <w:t xml:space="preserve">3.1.2 </w:t>
      </w:r>
      <w:r>
        <w:t>力学性能及耗能检测</w:t>
      </w:r>
    </w:p>
    <w:p w14:paraId="641963BE" w14:textId="77777777" w:rsidR="00821EBB" w:rsidRDefault="00821EB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2464"/>
        <w:gridCol w:w="2379"/>
        <w:gridCol w:w="2051"/>
      </w:tblGrid>
      <w:tr w:rsidR="008E7111" w14:paraId="19322ED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45FBE" w14:textId="77777777" w:rsidR="00821EBB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A9CF31" w14:textId="77777777" w:rsidR="00821EBB" w:rsidRDefault="00000000">
            <w:pPr>
              <w:pStyle w:val="20"/>
            </w:pPr>
            <w:r>
              <w:t>设计要求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7E7C77" w14:textId="77777777" w:rsidR="00821EBB" w:rsidRDefault="00000000">
            <w:pPr>
              <w:pStyle w:val="20"/>
            </w:pPr>
            <w:r>
              <w:t>实测结果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79D01F" w14:textId="77777777" w:rsidR="00821EBB" w:rsidRDefault="00000000">
            <w:pPr>
              <w:pStyle w:val="20"/>
            </w:pPr>
            <w:r>
              <w:t>单项评定</w:t>
            </w:r>
          </w:p>
        </w:tc>
      </w:tr>
      <w:tr w:rsidR="008E7111" w14:paraId="3AD5D86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CF349" w14:textId="77777777" w:rsidR="00821EBB" w:rsidRDefault="00000000">
            <w:pPr>
              <w:pStyle w:val="20"/>
            </w:pPr>
            <w:r>
              <w:t>屈服承载力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4DFBED" w14:textId="77777777" w:rsidR="00821EBB" w:rsidRDefault="00000000">
            <w:pPr>
              <w:pStyle w:val="20"/>
            </w:pPr>
            <w:r>
              <w:t>≥1500kN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C6AD16" w14:textId="77777777" w:rsidR="00821EBB" w:rsidRDefault="00000000">
            <w:pPr>
              <w:pStyle w:val="20"/>
            </w:pPr>
            <w:r>
              <w:t>1620kN</w:t>
            </w:r>
            <w:r>
              <w:t>、</w:t>
            </w:r>
            <w:r>
              <w:t>1650kN</w:t>
            </w:r>
            <w:r>
              <w:t>、</w:t>
            </w:r>
            <w:r>
              <w:t>1630kN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ACD61" w14:textId="77777777" w:rsidR="00821EBB" w:rsidRDefault="00000000">
            <w:pPr>
              <w:pStyle w:val="20"/>
            </w:pPr>
            <w:r>
              <w:t>合格</w:t>
            </w:r>
          </w:p>
        </w:tc>
      </w:tr>
      <w:tr w:rsidR="008E7111" w14:paraId="30FC951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DBE346" w14:textId="77777777" w:rsidR="00821EBB" w:rsidRDefault="00000000">
            <w:pPr>
              <w:pStyle w:val="20"/>
            </w:pPr>
            <w:r>
              <w:t>极限承载力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AAD7EF" w14:textId="77777777" w:rsidR="00821EBB" w:rsidRDefault="00000000">
            <w:pPr>
              <w:pStyle w:val="20"/>
            </w:pPr>
            <w:r>
              <w:t>≥2200kN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2ACE0E" w14:textId="77777777" w:rsidR="00821EBB" w:rsidRDefault="00000000">
            <w:pPr>
              <w:pStyle w:val="20"/>
            </w:pPr>
            <w:r>
              <w:t>2350kN</w:t>
            </w:r>
            <w:r>
              <w:t>、</w:t>
            </w:r>
            <w:r>
              <w:t>2380kN</w:t>
            </w:r>
            <w:r>
              <w:t>、</w:t>
            </w:r>
            <w:r>
              <w:t>2360kN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2FCDF2" w14:textId="77777777" w:rsidR="00821EBB" w:rsidRDefault="00000000">
            <w:pPr>
              <w:pStyle w:val="20"/>
            </w:pPr>
            <w:r>
              <w:t>合格</w:t>
            </w:r>
          </w:p>
        </w:tc>
      </w:tr>
      <w:tr w:rsidR="008E7111" w14:paraId="754D81B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F0FEA1" w14:textId="77777777" w:rsidR="00821EBB" w:rsidRDefault="00000000">
            <w:pPr>
              <w:pStyle w:val="20"/>
            </w:pPr>
            <w:r>
              <w:t>弹性刚度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654DD1" w14:textId="77777777" w:rsidR="00821EBB" w:rsidRDefault="00000000">
            <w:pPr>
              <w:pStyle w:val="20"/>
            </w:pPr>
            <w:r>
              <w:t>180~220kN/mm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6710E9" w14:textId="77777777" w:rsidR="00821EBB" w:rsidRDefault="00000000">
            <w:pPr>
              <w:pStyle w:val="20"/>
            </w:pPr>
            <w:r>
              <w:t>198kN/mm</w:t>
            </w:r>
            <w:r>
              <w:t>、</w:t>
            </w:r>
            <w:r>
              <w:t>202kN/mm</w:t>
            </w:r>
            <w:r>
              <w:t>、</w:t>
            </w:r>
            <w:r>
              <w:t>200kN/mm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008725" w14:textId="77777777" w:rsidR="00821EBB" w:rsidRDefault="00000000">
            <w:pPr>
              <w:pStyle w:val="20"/>
            </w:pPr>
            <w:r>
              <w:t>合格</w:t>
            </w:r>
          </w:p>
        </w:tc>
      </w:tr>
      <w:tr w:rsidR="008E7111" w14:paraId="55D0FD1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770DB2" w14:textId="77777777" w:rsidR="00821EBB" w:rsidRDefault="00000000">
            <w:pPr>
              <w:pStyle w:val="20"/>
            </w:pPr>
            <w:proofErr w:type="gramStart"/>
            <w:r>
              <w:t>滞回曲线</w:t>
            </w:r>
            <w:proofErr w:type="gramEnd"/>
            <w:r>
              <w:t>饱满度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553E02" w14:textId="77777777" w:rsidR="00821EBB" w:rsidRDefault="00000000">
            <w:pPr>
              <w:pStyle w:val="20"/>
            </w:pPr>
            <w:proofErr w:type="gramStart"/>
            <w:r>
              <w:t>无捏缩现象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388C20" w14:textId="77777777" w:rsidR="00821EBB" w:rsidRDefault="00000000">
            <w:pPr>
              <w:pStyle w:val="20"/>
            </w:pPr>
            <w:proofErr w:type="gramStart"/>
            <w:r>
              <w:t>滞回曲线</w:t>
            </w:r>
            <w:proofErr w:type="gramEnd"/>
            <w:r>
              <w:t>饱满，耗能稳定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46058" w14:textId="77777777" w:rsidR="00821EBB" w:rsidRDefault="00000000">
            <w:pPr>
              <w:pStyle w:val="20"/>
            </w:pPr>
            <w:r>
              <w:t>合格</w:t>
            </w:r>
          </w:p>
        </w:tc>
      </w:tr>
      <w:tr w:rsidR="008E7111" w14:paraId="63D3989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93AA2" w14:textId="77777777" w:rsidR="00821EBB" w:rsidRDefault="00000000">
            <w:pPr>
              <w:pStyle w:val="20"/>
            </w:pPr>
            <w:r>
              <w:t>疲劳性能（</w:t>
            </w:r>
            <w:r>
              <w:t xml:space="preserve">30 </w:t>
            </w:r>
            <w:r>
              <w:t>次循环）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9B414E" w14:textId="77777777" w:rsidR="00821EBB" w:rsidRDefault="00000000">
            <w:pPr>
              <w:pStyle w:val="20"/>
            </w:pPr>
            <w:r>
              <w:t>性能衰减</w:t>
            </w:r>
            <w:r>
              <w:t>≤8%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2508C0" w14:textId="77777777" w:rsidR="00821EBB" w:rsidRDefault="00000000">
            <w:pPr>
              <w:pStyle w:val="20"/>
            </w:pPr>
            <w:r>
              <w:t>衰减率</w:t>
            </w:r>
            <w:r>
              <w:t xml:space="preserve"> 5.2%</w:t>
            </w:r>
            <w:r>
              <w:t>、</w:t>
            </w:r>
            <w:r>
              <w:t>4.8%</w:t>
            </w:r>
            <w:r>
              <w:t>、</w:t>
            </w:r>
            <w:r>
              <w:t>5.5%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DAF86" w14:textId="77777777" w:rsidR="00821EBB" w:rsidRDefault="00000000">
            <w:pPr>
              <w:pStyle w:val="20"/>
            </w:pPr>
            <w:r>
              <w:t>合格</w:t>
            </w:r>
          </w:p>
        </w:tc>
      </w:tr>
    </w:tbl>
    <w:p w14:paraId="4791F53B" w14:textId="77777777" w:rsidR="00821EBB" w:rsidRDefault="00000000">
      <w:pPr>
        <w:pStyle w:val="3"/>
      </w:pPr>
      <w:r>
        <w:t xml:space="preserve">3.2 </w:t>
      </w:r>
      <w:r>
        <w:t>粘滞阻尼器检测</w:t>
      </w:r>
    </w:p>
    <w:p w14:paraId="4579B57F" w14:textId="77777777" w:rsidR="00821EBB" w:rsidRDefault="00821EB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0"/>
        <w:gridCol w:w="2423"/>
        <w:gridCol w:w="2326"/>
        <w:gridCol w:w="1952"/>
      </w:tblGrid>
      <w:tr w:rsidR="008E7111" w14:paraId="28B2A4C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34938A" w14:textId="77777777" w:rsidR="00821EBB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CFD23" w14:textId="77777777" w:rsidR="00821EBB" w:rsidRDefault="00000000">
            <w:pPr>
              <w:pStyle w:val="20"/>
            </w:pPr>
            <w:r>
              <w:t>标准要求（</w:t>
            </w:r>
            <w:r>
              <w:t>JG/T 209-2012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57DFB1" w14:textId="77777777" w:rsidR="00821EBB" w:rsidRDefault="00000000">
            <w:pPr>
              <w:pStyle w:val="20"/>
            </w:pPr>
            <w:r>
              <w:t>实测结果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2D30B6" w14:textId="77777777" w:rsidR="00821EBB" w:rsidRDefault="00000000">
            <w:pPr>
              <w:pStyle w:val="20"/>
            </w:pPr>
            <w:r>
              <w:t>单项评定</w:t>
            </w:r>
          </w:p>
        </w:tc>
      </w:tr>
      <w:tr w:rsidR="008E7111" w14:paraId="58F5CEC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6897B9" w14:textId="77777777" w:rsidR="00821EBB" w:rsidRDefault="00000000">
            <w:pPr>
              <w:pStyle w:val="20"/>
            </w:pPr>
            <w:r>
              <w:t>额定阻尼力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9172D8" w14:textId="77777777" w:rsidR="00821EBB" w:rsidRDefault="00000000">
            <w:pPr>
              <w:pStyle w:val="20"/>
            </w:pPr>
            <w:r>
              <w:t>200kN±10%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EF8BC1" w14:textId="77777777" w:rsidR="00821EBB" w:rsidRDefault="00000000">
            <w:pPr>
              <w:pStyle w:val="20"/>
            </w:pPr>
            <w:r>
              <w:t>205kN</w:t>
            </w:r>
            <w:r>
              <w:t>、</w:t>
            </w:r>
            <w:r>
              <w:t>198kN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D1494C" w14:textId="77777777" w:rsidR="00821EBB" w:rsidRDefault="00000000">
            <w:pPr>
              <w:pStyle w:val="20"/>
            </w:pPr>
            <w:r>
              <w:t>合格</w:t>
            </w:r>
          </w:p>
        </w:tc>
      </w:tr>
      <w:tr w:rsidR="008E7111" w14:paraId="3AC08D0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0BD21C" w14:textId="77777777" w:rsidR="00821EBB" w:rsidRDefault="00000000">
            <w:pPr>
              <w:pStyle w:val="20"/>
            </w:pPr>
            <w:r>
              <w:t>阻尼系数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886021" w14:textId="77777777" w:rsidR="00821EBB" w:rsidRDefault="00000000">
            <w:pPr>
              <w:pStyle w:val="20"/>
            </w:pPr>
            <w:r>
              <w:t>150~200kN·s/m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DC914D" w14:textId="77777777" w:rsidR="00821EBB" w:rsidRDefault="00000000">
            <w:pPr>
              <w:pStyle w:val="20"/>
            </w:pPr>
            <w:r>
              <w:t>175kN·s/m</w:t>
            </w:r>
            <w:r>
              <w:t>、</w:t>
            </w:r>
            <w:r>
              <w:t>178kN·s/m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F2378" w14:textId="77777777" w:rsidR="00821EBB" w:rsidRDefault="00000000">
            <w:pPr>
              <w:pStyle w:val="20"/>
            </w:pPr>
            <w:r>
              <w:t>合格</w:t>
            </w:r>
          </w:p>
        </w:tc>
      </w:tr>
      <w:tr w:rsidR="008E7111" w14:paraId="0E63AA0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EF4EF7" w14:textId="77777777" w:rsidR="00821EBB" w:rsidRDefault="00000000">
            <w:pPr>
              <w:pStyle w:val="20"/>
            </w:pPr>
            <w:r>
              <w:t>极限位移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51228" w14:textId="77777777" w:rsidR="00821EBB" w:rsidRDefault="00000000">
            <w:pPr>
              <w:pStyle w:val="20"/>
            </w:pPr>
            <w:r>
              <w:t>≥±200mm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863363" w14:textId="77777777" w:rsidR="00821EBB" w:rsidRDefault="00000000">
            <w:pPr>
              <w:pStyle w:val="20"/>
            </w:pPr>
            <w:r>
              <w:t>±250mm</w:t>
            </w:r>
            <w:r>
              <w:t>、</w:t>
            </w:r>
            <w:r>
              <w:t>±245mm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6E5945" w14:textId="77777777" w:rsidR="00821EBB" w:rsidRDefault="00000000">
            <w:pPr>
              <w:pStyle w:val="20"/>
            </w:pPr>
            <w:r>
              <w:t>合格</w:t>
            </w:r>
          </w:p>
        </w:tc>
      </w:tr>
      <w:tr w:rsidR="008E7111" w14:paraId="08B01D1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7E68B2" w14:textId="77777777" w:rsidR="00821EBB" w:rsidRDefault="00000000">
            <w:pPr>
              <w:pStyle w:val="20"/>
            </w:pPr>
            <w:r>
              <w:lastRenderedPageBreak/>
              <w:t>动力性能（</w:t>
            </w:r>
            <w:r>
              <w:t>0.1~5Hz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833734" w14:textId="77777777" w:rsidR="00821EBB" w:rsidRDefault="00000000">
            <w:pPr>
              <w:pStyle w:val="20"/>
            </w:pPr>
            <w:r>
              <w:t>阻尼比</w:t>
            </w:r>
            <w:r>
              <w:t>≥15%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E984C1" w14:textId="77777777" w:rsidR="00821EBB" w:rsidRDefault="00000000">
            <w:pPr>
              <w:pStyle w:val="20"/>
            </w:pPr>
            <w:r>
              <w:t>18.5%</w:t>
            </w:r>
            <w:r>
              <w:t>、</w:t>
            </w:r>
            <w:r>
              <w:t>18.2%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96C929" w14:textId="77777777" w:rsidR="00821EBB" w:rsidRDefault="00000000">
            <w:pPr>
              <w:pStyle w:val="20"/>
            </w:pPr>
            <w:r>
              <w:t>合格</w:t>
            </w:r>
          </w:p>
        </w:tc>
      </w:tr>
      <w:tr w:rsidR="008E7111" w14:paraId="07D9D06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7A941" w14:textId="77777777" w:rsidR="00821EBB" w:rsidRDefault="00000000">
            <w:pPr>
              <w:pStyle w:val="20"/>
            </w:pPr>
            <w:r>
              <w:t>密封性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051687" w14:textId="77777777" w:rsidR="00821EBB" w:rsidRDefault="00000000">
            <w:pPr>
              <w:pStyle w:val="20"/>
            </w:pPr>
            <w:r>
              <w:t>无泄漏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E12CF" w14:textId="77777777" w:rsidR="00821EBB" w:rsidRDefault="00000000">
            <w:pPr>
              <w:pStyle w:val="20"/>
            </w:pPr>
            <w:r>
              <w:t>加压测试无液压油泄漏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6459E7" w14:textId="77777777" w:rsidR="00821EBB" w:rsidRDefault="00000000">
            <w:pPr>
              <w:pStyle w:val="20"/>
            </w:pPr>
            <w:r>
              <w:t>合格</w:t>
            </w:r>
          </w:p>
        </w:tc>
      </w:tr>
    </w:tbl>
    <w:p w14:paraId="4A1DD9D0" w14:textId="77777777" w:rsidR="00821EBB" w:rsidRDefault="00000000">
      <w:pPr>
        <w:pStyle w:val="2"/>
      </w:pPr>
      <w:r>
        <w:t>四、检测结果分析与合</w:t>
      </w:r>
      <w:proofErr w:type="gramStart"/>
      <w:r>
        <w:t>规</w:t>
      </w:r>
      <w:proofErr w:type="gramEnd"/>
      <w:r>
        <w:t>性判定</w:t>
      </w:r>
    </w:p>
    <w:p w14:paraId="7639CFD5" w14:textId="77777777" w:rsidR="00821EBB" w:rsidRDefault="00000000">
      <w:pPr>
        <w:pStyle w:val="3"/>
      </w:pPr>
      <w:r>
        <w:t xml:space="preserve">4.1 </w:t>
      </w:r>
      <w:r>
        <w:t>性能符合性分析</w:t>
      </w:r>
    </w:p>
    <w:p w14:paraId="22E72554" w14:textId="77777777" w:rsidR="00821EBB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隔震设施</w:t>
      </w:r>
      <w:r>
        <w:t>：橡胶隔震支座的竖向承载力、水平刚度、阻尼比等关键指标均满足设计要求，水平极限位移（</w:t>
      </w:r>
      <w:r>
        <w:t>±123~128mm</w:t>
      </w:r>
      <w:r>
        <w:t>）远超标准限值，可有效隔离</w:t>
      </w:r>
      <w:r>
        <w:t xml:space="preserve"> 7 </w:t>
      </w:r>
      <w:r>
        <w:t>度（</w:t>
      </w:r>
      <w:r>
        <w:t>0.15g</w:t>
      </w:r>
      <w:r>
        <w:t>）地震作用，适配历史建筑区木</w:t>
      </w:r>
      <w:proofErr w:type="gramStart"/>
      <w:r>
        <w:t>构基础</w:t>
      </w:r>
      <w:proofErr w:type="gramEnd"/>
      <w:r>
        <w:t>的隔震需求；</w:t>
      </w:r>
    </w:p>
    <w:p w14:paraId="188FC03D" w14:textId="77777777" w:rsidR="00821EBB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消能减震构件</w:t>
      </w:r>
      <w:r>
        <w:t>：屈曲约束</w:t>
      </w:r>
      <w:proofErr w:type="gramStart"/>
      <w:r>
        <w:t>支撑滞回曲线</w:t>
      </w:r>
      <w:proofErr w:type="gramEnd"/>
      <w:r>
        <w:t>饱满，耗能能力达标，屈服承载力比设计值提升</w:t>
      </w:r>
      <w:r>
        <w:t xml:space="preserve"> 8%~10%</w:t>
      </w:r>
      <w:r>
        <w:t>；粘滞阻尼器阻尼系数稳定，可有效缓冲历史建筑木构节点的地震响应，符合抗震设计专篇中</w:t>
      </w:r>
      <w:r>
        <w:t xml:space="preserve"> “</w:t>
      </w:r>
      <w:r>
        <w:t>弱环节加固</w:t>
      </w:r>
      <w:r>
        <w:t xml:space="preserve">” </w:t>
      </w:r>
      <w:r>
        <w:t>要求；</w:t>
      </w:r>
    </w:p>
    <w:p w14:paraId="5DCEAAE4" w14:textId="77777777" w:rsidR="00821EBB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耐久性验证</w:t>
      </w:r>
      <w:r>
        <w:t>：所有构件通过温度循环、老化、疲劳等耐久性测试，性能衰减率均</w:t>
      </w:r>
      <w:r>
        <w:t>≤8%</w:t>
      </w:r>
      <w:r>
        <w:t>，满足历史建筑区</w:t>
      </w:r>
      <w:r>
        <w:t xml:space="preserve"> 30 </w:t>
      </w:r>
      <w:r>
        <w:t>年、新建商业区</w:t>
      </w:r>
      <w:r>
        <w:t xml:space="preserve"> 50 </w:t>
      </w:r>
      <w:r>
        <w:t>年的后续工作年限要求。</w:t>
      </w:r>
    </w:p>
    <w:p w14:paraId="5C7ED8A6" w14:textId="77777777" w:rsidR="00821EBB" w:rsidRDefault="00000000">
      <w:pPr>
        <w:pStyle w:val="3"/>
      </w:pPr>
      <w:r>
        <w:t xml:space="preserve">4.2 </w:t>
      </w:r>
      <w:r>
        <w:t>规范合</w:t>
      </w:r>
      <w:proofErr w:type="gramStart"/>
      <w:r>
        <w:t>规</w:t>
      </w:r>
      <w:proofErr w:type="gramEnd"/>
      <w:r>
        <w:t>性判定</w:t>
      </w:r>
    </w:p>
    <w:p w14:paraId="094A40C2" w14:textId="77777777" w:rsidR="00821EBB" w:rsidRDefault="00821EB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8E7111" w14:paraId="6BB83A5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30DE6" w14:textId="77777777" w:rsidR="00821EBB" w:rsidRDefault="00000000">
            <w:pPr>
              <w:pStyle w:val="20"/>
            </w:pPr>
            <w:r>
              <w:t>规范条款要求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58E59C" w14:textId="77777777" w:rsidR="00821EBB" w:rsidRDefault="00000000">
            <w:pPr>
              <w:pStyle w:val="20"/>
            </w:pPr>
            <w:r>
              <w:t>符合情况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6D35DE" w14:textId="77777777" w:rsidR="00821EBB" w:rsidRDefault="00000000">
            <w:pPr>
              <w:pStyle w:val="20"/>
            </w:pPr>
            <w:r>
              <w:t>判定依据</w:t>
            </w:r>
          </w:p>
        </w:tc>
      </w:tr>
      <w:tr w:rsidR="008E7111" w14:paraId="777E523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A3C02A" w14:textId="77777777" w:rsidR="00821EBB" w:rsidRDefault="00000000">
            <w:pPr>
              <w:pStyle w:val="20"/>
            </w:pPr>
            <w:r>
              <w:t>《建设工程抗震管理条例》第十八条（见证取样检测）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0FDA4F" w14:textId="77777777" w:rsidR="00821EBB" w:rsidRDefault="00000000">
            <w:pPr>
              <w:pStyle w:val="20"/>
            </w:pPr>
            <w:r>
              <w:t>符合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36D460" w14:textId="77777777" w:rsidR="00821EBB" w:rsidRDefault="00000000">
            <w:pPr>
              <w:pStyle w:val="20"/>
            </w:pPr>
            <w:r>
              <w:t>样品由施工、监理单位共同见证取样，检测流程合</w:t>
            </w:r>
            <w:proofErr w:type="gramStart"/>
            <w:r>
              <w:t>规</w:t>
            </w:r>
            <w:proofErr w:type="gramEnd"/>
          </w:p>
        </w:tc>
      </w:tr>
      <w:tr w:rsidR="008E7111" w14:paraId="23D5A17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261FE4" w14:textId="77777777" w:rsidR="00821EBB" w:rsidRDefault="00000000">
            <w:pPr>
              <w:pStyle w:val="20"/>
            </w:pPr>
            <w:r>
              <w:t>《建筑消能阻尼器》（</w:t>
            </w:r>
            <w:r>
              <w:t>JG/T 209-2012</w:t>
            </w:r>
            <w:r>
              <w:t>）力学性能要求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A241FA" w14:textId="77777777" w:rsidR="00821EBB" w:rsidRDefault="00000000">
            <w:pPr>
              <w:pStyle w:val="20"/>
            </w:pPr>
            <w:r>
              <w:t>符合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9C69F" w14:textId="77777777" w:rsidR="00821EBB" w:rsidRDefault="00000000">
            <w:pPr>
              <w:pStyle w:val="20"/>
            </w:pPr>
            <w:r>
              <w:t>关键指标实测值均在标准允许范围内</w:t>
            </w:r>
          </w:p>
        </w:tc>
      </w:tr>
      <w:tr w:rsidR="008E7111" w14:paraId="0894EC3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9F6A87" w14:textId="77777777" w:rsidR="00821EBB" w:rsidRDefault="00000000">
            <w:pPr>
              <w:pStyle w:val="20"/>
            </w:pPr>
            <w:r>
              <w:t>《建筑与市政工程抗震通用规范》（</w:t>
            </w:r>
            <w:r>
              <w:t>GB 55002-2021</w:t>
            </w:r>
            <w:r>
              <w:t>）隔震减震性能要求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C6AE42" w14:textId="77777777" w:rsidR="00821EBB" w:rsidRDefault="00000000">
            <w:pPr>
              <w:pStyle w:val="20"/>
            </w:pPr>
            <w:r>
              <w:t>符合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8056C" w14:textId="77777777" w:rsidR="00821EBB" w:rsidRDefault="00000000">
            <w:pPr>
              <w:pStyle w:val="20"/>
            </w:pPr>
            <w:r>
              <w:t>隔震支座水平刚度、阻尼器耗能能力满足设防要求</w:t>
            </w:r>
          </w:p>
        </w:tc>
      </w:tr>
      <w:tr w:rsidR="008E7111" w14:paraId="5D83948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367D47" w14:textId="77777777" w:rsidR="00821EBB" w:rsidRDefault="00000000">
            <w:pPr>
              <w:pStyle w:val="20"/>
            </w:pPr>
            <w:r>
              <w:lastRenderedPageBreak/>
              <w:t>项目抗震设计专篇技术参数要求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70E655" w14:textId="77777777" w:rsidR="00821EBB" w:rsidRDefault="00000000">
            <w:pPr>
              <w:pStyle w:val="20"/>
            </w:pPr>
            <w:r>
              <w:t>符合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41270B" w14:textId="77777777" w:rsidR="00821EBB" w:rsidRDefault="00000000">
            <w:pPr>
              <w:pStyle w:val="20"/>
            </w:pPr>
            <w:r>
              <w:t>实测值与设计值偏差</w:t>
            </w:r>
            <w:r>
              <w:t>≤±5%</w:t>
            </w:r>
            <w:r>
              <w:t>，适配分区域抗震需求</w:t>
            </w:r>
          </w:p>
        </w:tc>
      </w:tr>
    </w:tbl>
    <w:p w14:paraId="1BE50BF5" w14:textId="77777777" w:rsidR="00821EBB" w:rsidRDefault="00000000">
      <w:pPr>
        <w:pStyle w:val="2"/>
      </w:pPr>
      <w:r>
        <w:t>五、结论与建议</w:t>
      </w:r>
    </w:p>
    <w:p w14:paraId="3D08697B" w14:textId="77777777" w:rsidR="00821EBB" w:rsidRDefault="00000000">
      <w:pPr>
        <w:pStyle w:val="3"/>
      </w:pPr>
      <w:r>
        <w:t xml:space="preserve">5.1 </w:t>
      </w:r>
      <w:r>
        <w:t>检测结论</w:t>
      </w:r>
    </w:p>
    <w:p w14:paraId="06C3655C" w14:textId="77777777" w:rsidR="00821EBB" w:rsidRDefault="00000000">
      <w:pPr>
        <w:pStyle w:val="20"/>
      </w:pPr>
      <w:r>
        <w:t>本次检测的橡胶隔震支座、屈曲约束支撑、粘滞阻尼器等隔</w:t>
      </w:r>
      <w:proofErr w:type="gramStart"/>
      <w:r>
        <w:t>震设施</w:t>
      </w:r>
      <w:proofErr w:type="gramEnd"/>
      <w:r>
        <w:t>及消能减震构件，经外观尺寸核查、力学性能测试、耐久性验证，</w:t>
      </w:r>
      <w:r>
        <w:rPr>
          <w:b/>
          <w:bCs/>
        </w:rPr>
        <w:t>所有检测项目均符合国家现行规范及项目抗震设计专篇要求，判定为合格产品</w:t>
      </w:r>
      <w:r>
        <w:t>，可用于本项目相应区域的抗震加固与施工安装。</w:t>
      </w:r>
    </w:p>
    <w:p w14:paraId="11142D74" w14:textId="77777777" w:rsidR="00821EBB" w:rsidRDefault="00000000">
      <w:pPr>
        <w:pStyle w:val="3"/>
      </w:pPr>
      <w:r>
        <w:t xml:space="preserve">5.2 </w:t>
      </w:r>
      <w:r>
        <w:t>应用与维护建议</w:t>
      </w:r>
    </w:p>
    <w:p w14:paraId="4E206300" w14:textId="77777777" w:rsidR="00821EBB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安装要求</w:t>
      </w:r>
      <w:r>
        <w:t>：隔震支座安装时需保证水平度偏差</w:t>
      </w:r>
      <w:r>
        <w:t>≤1‰</w:t>
      </w:r>
      <w:r>
        <w:t>，屈曲约束支撑芯材与约束单元中心线偏差</w:t>
      </w:r>
      <w:r>
        <w:t>≤2mm</w:t>
      </w:r>
      <w:r>
        <w:t>，避免安装偏差影响性能；</w:t>
      </w:r>
    </w:p>
    <w:p w14:paraId="4B82E91E" w14:textId="77777777" w:rsidR="00821EBB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防护措施</w:t>
      </w:r>
      <w:r>
        <w:t>：历史建筑区隔震支座外露部分需设置防腐防尘罩，粘滞阻尼器液压油需每</w:t>
      </w:r>
      <w:r>
        <w:t xml:space="preserve"> 5 </w:t>
      </w:r>
      <w:r>
        <w:t>年检测一次品质；</w:t>
      </w:r>
    </w:p>
    <w:p w14:paraId="7835EFDF" w14:textId="77777777" w:rsidR="00821EBB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长期监测</w:t>
      </w:r>
      <w:r>
        <w:t>：在隔震层、消能构件安装位置设置位移传感器，纳入项目抗震监测体系，每年度记录性能数据；</w:t>
      </w:r>
    </w:p>
    <w:p w14:paraId="48404542" w14:textId="77777777" w:rsidR="00821EBB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更换周期</w:t>
      </w:r>
      <w:r>
        <w:t>：建议隔震支座使用</w:t>
      </w:r>
      <w:r>
        <w:t xml:space="preserve"> 20 </w:t>
      </w:r>
      <w:r>
        <w:t>年后进行专项检测，消能减震构件使用</w:t>
      </w:r>
      <w:r>
        <w:t xml:space="preserve"> 30 </w:t>
      </w:r>
      <w:r>
        <w:t>年后评估更换，确保抗震性能持续达标。</w:t>
      </w:r>
    </w:p>
    <w:p w14:paraId="64ADC992" w14:textId="77777777" w:rsidR="00821EBB" w:rsidRDefault="00000000">
      <w:pPr>
        <w:pStyle w:val="2"/>
      </w:pPr>
      <w:r>
        <w:t>六、附件清单</w:t>
      </w:r>
    </w:p>
    <w:p w14:paraId="7A1AC2A6" w14:textId="77777777" w:rsidR="00821EBB" w:rsidRDefault="00000000">
      <w:pPr>
        <w:pStyle w:val="20"/>
        <w:numPr>
          <w:ilvl w:val="0"/>
          <w:numId w:val="5"/>
        </w:numPr>
      </w:pPr>
      <w:r>
        <w:t>检测机构</w:t>
      </w:r>
      <w:r>
        <w:t xml:space="preserve"> CMA </w:t>
      </w:r>
      <w:r>
        <w:t>资质证书复印件；</w:t>
      </w:r>
    </w:p>
    <w:p w14:paraId="6FAA479F" w14:textId="77777777" w:rsidR="00821EBB" w:rsidRDefault="00000000">
      <w:pPr>
        <w:pStyle w:val="20"/>
        <w:numPr>
          <w:ilvl w:val="0"/>
          <w:numId w:val="5"/>
        </w:numPr>
      </w:pPr>
      <w:r>
        <w:t>样品见证取样记录及唯一编码溯源表；</w:t>
      </w:r>
    </w:p>
    <w:p w14:paraId="728A9F90" w14:textId="77777777" w:rsidR="00821EBB" w:rsidRDefault="00000000">
      <w:pPr>
        <w:pStyle w:val="20"/>
        <w:numPr>
          <w:ilvl w:val="0"/>
          <w:numId w:val="5"/>
        </w:numPr>
      </w:pPr>
      <w:r>
        <w:t>力学性能测试原始数据</w:t>
      </w:r>
      <w:proofErr w:type="gramStart"/>
      <w:r>
        <w:t>及滞回曲线</w:t>
      </w:r>
      <w:proofErr w:type="gramEnd"/>
      <w:r>
        <w:t>图谱；</w:t>
      </w:r>
    </w:p>
    <w:p w14:paraId="4B183A71" w14:textId="77777777" w:rsidR="00821EBB" w:rsidRDefault="00000000">
      <w:pPr>
        <w:pStyle w:val="20"/>
        <w:numPr>
          <w:ilvl w:val="0"/>
          <w:numId w:val="5"/>
        </w:numPr>
      </w:pPr>
      <w:r>
        <w:t>耐久性测试环境参数记录；</w:t>
      </w:r>
    </w:p>
    <w:p w14:paraId="7B86E6E0" w14:textId="77777777" w:rsidR="00821EBB" w:rsidRDefault="00000000">
      <w:pPr>
        <w:pStyle w:val="20"/>
        <w:numPr>
          <w:ilvl w:val="0"/>
          <w:numId w:val="5"/>
        </w:numPr>
      </w:pPr>
      <w:r>
        <w:t>构件生产厂家型式检验报告复印件。</w:t>
      </w:r>
    </w:p>
    <w:p w14:paraId="7B8A63AF" w14:textId="4164F679" w:rsidR="00821EBB" w:rsidRDefault="00821EBB" w:rsidP="008E7111">
      <w:pPr>
        <w:pStyle w:val="20"/>
        <w:rPr>
          <w:rFonts w:hint="eastAsia"/>
        </w:rPr>
      </w:pPr>
    </w:p>
    <w:sectPr w:rsidR="00821EB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76432"/>
    <w:multiLevelType w:val="multilevel"/>
    <w:tmpl w:val="1FAC8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4442D46"/>
    <w:multiLevelType w:val="hybridMultilevel"/>
    <w:tmpl w:val="A4107C38"/>
    <w:lvl w:ilvl="0" w:tplc="EE36165A">
      <w:start w:val="1"/>
      <w:numFmt w:val="bullet"/>
      <w:lvlText w:val="●"/>
      <w:lvlJc w:val="left"/>
      <w:pPr>
        <w:ind w:left="720" w:hanging="360"/>
      </w:pPr>
    </w:lvl>
    <w:lvl w:ilvl="1" w:tplc="EB2C7F62">
      <w:start w:val="1"/>
      <w:numFmt w:val="bullet"/>
      <w:lvlText w:val="○"/>
      <w:lvlJc w:val="left"/>
      <w:pPr>
        <w:ind w:left="1440" w:hanging="360"/>
      </w:pPr>
    </w:lvl>
    <w:lvl w:ilvl="2" w:tplc="389C3D7C">
      <w:start w:val="1"/>
      <w:numFmt w:val="bullet"/>
      <w:lvlText w:val="■"/>
      <w:lvlJc w:val="left"/>
      <w:pPr>
        <w:ind w:left="2160" w:hanging="360"/>
      </w:pPr>
    </w:lvl>
    <w:lvl w:ilvl="3" w:tplc="43D83B86">
      <w:start w:val="1"/>
      <w:numFmt w:val="bullet"/>
      <w:lvlText w:val="●"/>
      <w:lvlJc w:val="left"/>
      <w:pPr>
        <w:ind w:left="2880" w:hanging="360"/>
      </w:pPr>
    </w:lvl>
    <w:lvl w:ilvl="4" w:tplc="EE688C22">
      <w:start w:val="1"/>
      <w:numFmt w:val="bullet"/>
      <w:lvlText w:val="○"/>
      <w:lvlJc w:val="left"/>
      <w:pPr>
        <w:ind w:left="3600" w:hanging="360"/>
      </w:pPr>
    </w:lvl>
    <w:lvl w:ilvl="5" w:tplc="81C26BC4">
      <w:start w:val="1"/>
      <w:numFmt w:val="bullet"/>
      <w:lvlText w:val="■"/>
      <w:lvlJc w:val="left"/>
      <w:pPr>
        <w:ind w:left="4320" w:hanging="360"/>
      </w:pPr>
    </w:lvl>
    <w:lvl w:ilvl="6" w:tplc="C3CCF42E">
      <w:start w:val="1"/>
      <w:numFmt w:val="bullet"/>
      <w:lvlText w:val="●"/>
      <w:lvlJc w:val="left"/>
      <w:pPr>
        <w:ind w:left="5040" w:hanging="360"/>
      </w:pPr>
    </w:lvl>
    <w:lvl w:ilvl="7" w:tplc="2DFA310A">
      <w:start w:val="1"/>
      <w:numFmt w:val="bullet"/>
      <w:lvlText w:val="●"/>
      <w:lvlJc w:val="left"/>
      <w:pPr>
        <w:ind w:left="5760" w:hanging="360"/>
      </w:pPr>
    </w:lvl>
    <w:lvl w:ilvl="8" w:tplc="CC0EC6E0">
      <w:start w:val="1"/>
      <w:numFmt w:val="bullet"/>
      <w:lvlText w:val="●"/>
      <w:lvlJc w:val="left"/>
      <w:pPr>
        <w:ind w:left="6480" w:hanging="360"/>
      </w:pPr>
    </w:lvl>
  </w:abstractNum>
  <w:num w:numId="1" w16cid:durableId="1896155939">
    <w:abstractNumId w:val="0"/>
  </w:num>
  <w:num w:numId="2" w16cid:durableId="1875382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5020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02996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0742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BB"/>
    <w:rsid w:val="00821EBB"/>
    <w:rsid w:val="008E7111"/>
    <w:rsid w:val="00ED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44FA6"/>
  <w15:docId w15:val="{B8D6C8CD-40C8-46F0-96C6-BEA11878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1250</Words>
  <Characters>1651</Characters>
  <Application>Microsoft Office Word</Application>
  <DocSecurity>0</DocSecurity>
  <Lines>550</Lines>
  <Paragraphs>223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2026-03-21T01:06:00Z</dcterms:created>
  <dcterms:modified xsi:type="dcterms:W3CDTF">2026-03-21T01:07:00Z</dcterms:modified>
</cp:coreProperties>
</file>