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AED92">
      <w:pPr>
        <w:pStyle w:val="2"/>
        <w:widowControl/>
        <w:jc w:val="center"/>
        <w:rPr>
          <w:rFonts w:hint="default" w:ascii="Calibri" w:hAnsi="Calibri" w:eastAsia="宋体" w:cs="Times New Roman"/>
          <w:b/>
          <w:bCs/>
          <w:kern w:val="44"/>
          <w:sz w:val="44"/>
          <w:szCs w:val="44"/>
        </w:rPr>
      </w:pPr>
    </w:p>
    <w:p w14:paraId="15C8159B">
      <w:pPr>
        <w:pStyle w:val="2"/>
        <w:widowControl/>
        <w:jc w:val="center"/>
        <w:rPr>
          <w:rFonts w:hint="default" w:ascii="Calibri" w:hAnsi="Calibri" w:eastAsia="宋体" w:cs="Calibri"/>
          <w:b/>
          <w:bCs/>
          <w:kern w:val="44"/>
          <w:sz w:val="44"/>
          <w:szCs w:val="44"/>
        </w:rPr>
      </w:pPr>
      <w:r>
        <w:rPr>
          <w:rFonts w:hint="default" w:ascii="Calibri" w:hAnsi="Calibri" w:eastAsia="宋体" w:cs="Calibri"/>
          <w:b/>
          <w:bCs/>
          <w:kern w:val="44"/>
          <w:sz w:val="44"/>
          <w:szCs w:val="44"/>
        </w:rPr>
        <w:t>绿筑武夷，零碳共生</w:t>
      </w:r>
    </w:p>
    <w:p w14:paraId="27F4A629">
      <w:pPr>
        <w:pStyle w:val="2"/>
        <w:widowControl/>
        <w:jc w:val="center"/>
        <w:rPr>
          <w:rFonts w:hint="default" w:ascii="Calibri" w:hAnsi="Calibri" w:eastAsia="宋体" w:cs="Calibri"/>
          <w:b/>
          <w:bCs/>
          <w:kern w:val="44"/>
          <w:sz w:val="44"/>
          <w:szCs w:val="44"/>
        </w:rPr>
      </w:pPr>
      <w:r>
        <w:rPr>
          <w:rFonts w:hint="default" w:ascii="Calibri" w:hAnsi="Calibri" w:eastAsia="宋体" w:cs="Calibri"/>
          <w:b/>
          <w:bCs/>
          <w:kern w:val="44"/>
          <w:sz w:val="32"/>
          <w:szCs w:val="32"/>
        </w:rPr>
        <w:t>—面向多元人群的共生型山地公</w:t>
      </w:r>
      <w:r>
        <w:rPr>
          <w:rFonts w:hint="default" w:ascii="Calibri" w:hAnsi="Calibri" w:eastAsia="宋体" w:cs="Calibri"/>
          <w:b/>
          <w:bCs/>
          <w:kern w:val="44"/>
          <w:sz w:val="32"/>
          <w:szCs w:val="32"/>
        </w:rPr>
        <w:t>社</w:t>
      </w:r>
    </w:p>
    <w:p w14:paraId="3C22FDAD">
      <w:pPr>
        <w:pStyle w:val="2"/>
        <w:widowControl/>
        <w:jc w:val="center"/>
        <w:rPr>
          <w:rFonts w:hint="default" w:ascii="Calibri" w:hAnsi="Calibri" w:eastAsia="宋体" w:cs="Times New Roman"/>
          <w:b/>
          <w:bCs/>
          <w:kern w:val="44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44"/>
          <w:sz w:val="44"/>
          <w:szCs w:val="44"/>
        </w:rPr>
        <w:t>地面停车率计算书</w:t>
      </w:r>
    </w:p>
    <w:bookmarkEnd w:id="0"/>
    <w:p w14:paraId="1EBF02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44"/>
          <w:sz w:val="44"/>
          <w:szCs w:val="44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page"/>
      </w:r>
    </w:p>
    <w:p w14:paraId="5D9147BE">
      <w:pPr>
        <w:pStyle w:val="3"/>
        <w:widowControl/>
        <w:rPr>
          <w:rFonts w:hint="default" w:ascii="Calibri Light" w:hAnsi="Calibri Light" w:eastAsia="宋体" w:cs="Times New Roman"/>
          <w:i w:val="0"/>
          <w:iCs w:val="0"/>
        </w:rPr>
      </w:pPr>
      <w:r>
        <w:rPr>
          <w:rStyle w:val="8"/>
          <w:rFonts w:hint="default" w:ascii="Calibri Light" w:hAnsi="Calibri Light" w:eastAsia="Calibri Light" w:cs="Calibri Light"/>
          <w:i w:val="0"/>
          <w:iCs w:val="0"/>
        </w:rPr>
        <w:t>1</w:t>
      </w:r>
      <w:r>
        <w:rPr>
          <w:rStyle w:val="8"/>
          <w:rFonts w:hint="default" w:ascii="Calibri Light" w:hAnsi="Calibri Light" w:eastAsia="宋体" w:cs="Times New Roman"/>
          <w:i w:val="0"/>
          <w:iCs w:val="0"/>
        </w:rPr>
        <w:t xml:space="preserve"> </w:t>
      </w:r>
      <w:r>
        <w:rPr>
          <w:rStyle w:val="8"/>
          <w:rFonts w:hint="eastAsia" w:ascii="宋体" w:hAnsi="宋体" w:eastAsia="宋体" w:cs="宋体"/>
          <w:i w:val="0"/>
          <w:iCs w:val="0"/>
        </w:rPr>
        <w:t>项目概况</w:t>
      </w:r>
    </w:p>
    <w:p w14:paraId="3E544A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2" w:firstLineChars="20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项目名称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绿筑武夷，零碳共生 —— 面向多元人群的共生型山地公社</w:t>
      </w:r>
    </w:p>
    <w:p w14:paraId="79A7D8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项目位于武夷山风景名胜区边缘庙湾地块（东向缓坡台地）。该项目总用地面积为8600 平方米</w:t>
      </w:r>
      <w:r>
        <w:rPr>
          <w:rFonts w:ascii="宋体" w:hAnsi="宋体" w:eastAsia="宋体" w:cs="宋体"/>
          <w:sz w:val="24"/>
          <w:szCs w:val="24"/>
        </w:rPr>
        <w:t>，总建筑面积为5200 平方米</w:t>
      </w:r>
      <w:r>
        <w:rPr>
          <w:rFonts w:ascii="宋体" w:hAnsi="宋体" w:eastAsia="宋体" w:cs="宋体"/>
          <w:sz w:val="24"/>
          <w:szCs w:val="24"/>
        </w:rPr>
        <w:t>，项目为集茶叶生产、文化展示、深度品鉴、度假住宿于一体的低碳聚落公共建筑，无住宅配套，全业态为公共建筑类型。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5262245" cy="3721100"/>
            <wp:effectExtent l="0" t="0" r="8255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0B5146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项目效果图</w:t>
      </w:r>
    </w:p>
    <w:p w14:paraId="61326646">
      <w:pPr>
        <w:pStyle w:val="2"/>
        <w:widowControl/>
        <w:rPr>
          <w:rFonts w:hint="default" w:ascii="Calibri" w:hAnsi="Calibri" w:eastAsia="宋体" w:cs="Times New Roman"/>
          <w:b/>
          <w:bCs/>
          <w:kern w:val="44"/>
          <w:sz w:val="28"/>
          <w:szCs w:val="28"/>
        </w:rPr>
      </w:pPr>
      <w:r>
        <w:rPr>
          <w:rFonts w:hint="default" w:ascii="Calibri" w:hAnsi="Calibri" w:eastAsia="宋体" w:cs="Calibri"/>
          <w:b/>
          <w:bCs/>
          <w:kern w:val="44"/>
          <w:sz w:val="28"/>
          <w:szCs w:val="28"/>
        </w:rPr>
        <w:t xml:space="preserve">2 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</w:rPr>
        <w:t>标准要求</w:t>
      </w:r>
    </w:p>
    <w:p w14:paraId="0436FA05"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 w:firstLine="420"/>
        <w:jc w:val="both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《绿色建筑评价标准》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GB/T 50378-2019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024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年版）第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7.2.3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条明确要求：</w:t>
      </w:r>
    </w:p>
    <w:p w14:paraId="56CA63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采用机械式停车设施、地下停车库或地面停车楼等方式，评价分值为8分，并按下列规则评分：</w:t>
      </w:r>
    </w:p>
    <w:p w14:paraId="52664E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   住宅建筑地面停车位数量与住宅总套数的比率应小于10%，得8分；</w:t>
      </w:r>
    </w:p>
    <w:p w14:paraId="7FA9A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  公共建筑地面停车占地面积与其总建设用地面积的比率应小于8%，得8分。</w:t>
      </w:r>
    </w:p>
    <w:p w14:paraId="3C3527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394E97D0">
      <w:pPr>
        <w:pStyle w:val="2"/>
        <w:widowControl/>
        <w:rPr>
          <w:rFonts w:hint="default" w:ascii="Calibri" w:hAnsi="Calibri" w:eastAsia="宋体" w:cs="Times New Roman"/>
          <w:b/>
          <w:bCs/>
          <w:kern w:val="44"/>
          <w:sz w:val="28"/>
          <w:szCs w:val="28"/>
        </w:rPr>
      </w:pPr>
      <w:r>
        <w:rPr>
          <w:rFonts w:hint="default" w:ascii="Calibri" w:hAnsi="Calibri" w:eastAsia="宋体" w:cs="Times New Roman"/>
          <w:b/>
          <w:bCs/>
          <w:kern w:val="44"/>
          <w:sz w:val="28"/>
          <w:szCs w:val="28"/>
        </w:rPr>
        <w:t>3</w:t>
      </w:r>
      <w:r>
        <w:rPr>
          <w:rFonts w:hint="eastAsia" w:ascii="Calibri" w:hAnsi="Calibri" w:eastAsia="宋体" w:cs="Times New Roman"/>
          <w:b/>
          <w:bCs/>
          <w:kern w:val="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</w:rPr>
        <w:t>计算</w:t>
      </w:r>
    </w:p>
    <w:p w14:paraId="34E033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地面停车位数：12 个（注：项目仅在山脚设置集中地面生态停车场，采用植草砖生态停车工艺，单车位标准占地面积按 25㎡核算）地面停车占地面积：12×25=300 平方米总建设用地面积：8600 平方米</w:t>
      </w:r>
    </w:p>
    <w:p w14:paraId="5F87EE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地面停车率 = 地面停车占地面积 / 总建设用地面积= 300 / 8600 = 3.49%</w:t>
      </w:r>
    </w:p>
    <w:p w14:paraId="355BB267">
      <w:pPr>
        <w:pStyle w:val="2"/>
        <w:widowControl/>
        <w:rPr>
          <w:rFonts w:hint="default" w:ascii="Calibri" w:hAnsi="Calibri" w:eastAsia="宋体" w:cs="Times New Roman"/>
          <w:b/>
          <w:bCs/>
          <w:kern w:val="44"/>
          <w:sz w:val="28"/>
          <w:szCs w:val="28"/>
        </w:rPr>
      </w:pPr>
      <w:r>
        <w:rPr>
          <w:rFonts w:hint="default" w:ascii="Calibri" w:hAnsi="Calibri" w:eastAsia="宋体" w:cs="Times New Roman"/>
          <w:b/>
          <w:bCs/>
          <w:kern w:val="44"/>
          <w:sz w:val="28"/>
          <w:szCs w:val="28"/>
        </w:rPr>
        <w:t>4</w:t>
      </w:r>
      <w:r>
        <w:rPr>
          <w:rFonts w:hint="eastAsia" w:ascii="Calibri" w:hAnsi="Calibri" w:eastAsia="宋体" w:cs="Times New Roman"/>
          <w:b/>
          <w:bCs/>
          <w:kern w:val="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</w:rPr>
        <w:t>结论</w:t>
      </w:r>
    </w:p>
    <w:p w14:paraId="19B925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经验算，公共建筑地面停车占地面积与其总建设用地面积的比率为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3.49%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，满足规范要求，可得8分。</w:t>
      </w:r>
    </w:p>
    <w:p w14:paraId="4D7391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u w:val="single"/>
        </w:rPr>
      </w:pPr>
    </w:p>
    <w:p w14:paraId="4B0A1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577A9"/>
    <w:rsid w:val="23A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1"/>
    </w:pPr>
    <w:rPr>
      <w:rFonts w:hint="default" w:ascii="Calibri Light" w:hAnsi="Calibri Light" w:eastAsia="宋体" w:cs="Times New Roman"/>
      <w:b/>
      <w:bCs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10"/>
    <w:basedOn w:val="5"/>
    <w:uiPriority w:val="0"/>
    <w:rPr>
      <w:rFonts w:hint="default" w:ascii="Calibri" w:hAnsi="Calibri" w:cs="Calibri"/>
    </w:rPr>
  </w:style>
  <w:style w:type="character" w:customStyle="1" w:styleId="8">
    <w:name w:val="15"/>
    <w:basedOn w:val="5"/>
    <w:uiPriority w:val="0"/>
    <w:rPr>
      <w:rFonts w:hint="default" w:ascii="Calibri" w:hAnsi="Calibri" w:cs="Calibri"/>
      <w:i/>
      <w:iCs/>
      <w:color w:val="3F3F3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2026-03-22T13:43:00Z</dcterms:created>
  <dc:creator>W</dc:creator>
  <cp:lastModifiedBy>W</cp:lastModifiedBy>
  <dcterms:modified xsi:type="dcterms:W3CDTF">2026-03-22T13:49:12Z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94FBAEFCD0CF41898C9C6921A20E07E4_11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