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C71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装修设计说明（室内空气质量控制专篇）</w:t>
      </w:r>
    </w:p>
    <w:p w14:paraId="28E15EBF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一、设计依据</w:t>
      </w:r>
    </w:p>
    <w:p w14:paraId="4F414E8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本工程室内装修污染控制设计严格执行国家现行有关设计规范、标准和规定，主要包括：</w:t>
      </w:r>
    </w:p>
    <w:p w14:paraId="72C8C89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1.《室内空气质量标准》GB/T18883-2022</w:t>
      </w:r>
    </w:p>
    <w:p w14:paraId="75EA00E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2.《公共建筑室内空气质量控制设计标准》JGJ/T461-2019</w:t>
      </w:r>
    </w:p>
    <w:p w14:paraId="53495F6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3.《住宅建筑室内装修污染控制技术标准》JGJ/T436-2018</w:t>
      </w:r>
    </w:p>
    <w:p w14:paraId="4DD6CF3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4.《民用建筑工程室内环境污染控制规范》GB50325</w:t>
      </w:r>
    </w:p>
    <w:p w14:paraId="027C87F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5.《民用建筑供暖通风与空气调节设计规范》GB50736</w:t>
      </w:r>
    </w:p>
    <w:p w14:paraId="39E64D9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6.国家及地方其他相关法律、法规、标准及规范</w:t>
      </w:r>
    </w:p>
    <w:p w14:paraId="4715637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7.建设单位提出的室内空气质量设计要求</w:t>
      </w:r>
    </w:p>
    <w:p w14:paraId="78615005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二、设计原则</w:t>
      </w:r>
    </w:p>
    <w:p w14:paraId="2610FEF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1.源头控制优先：室内空气质量控制措施的优先级别依次为源头控制、通风稀释、室内空气净化（依据JGJ/T461-2019第3.1.2条）。</w:t>
      </w:r>
    </w:p>
    <w:p w14:paraId="4B2CFB5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2.全过程管控：从设计选材、材料采购、施工工艺到竣工验收，实施室内空气质量的全程控制。</w:t>
      </w:r>
    </w:p>
    <w:p w14:paraId="39FF161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3.健康与安全：确保室内空气无毒、无害、无异常嗅味，保障人员健康。</w:t>
      </w:r>
    </w:p>
    <w:p w14:paraId="1056A4C2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三、室内空气质量设计参数</w:t>
      </w:r>
    </w:p>
    <w:p w14:paraId="3AC5F14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本工程室内空气质量以《室内空气质量标准》GB/T18883-2022为主要依据，主要污染物浓度设计目标值应符合表1的规定。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964"/>
        <w:gridCol w:w="2445"/>
        <w:gridCol w:w="1705"/>
      </w:tblGrid>
      <w:tr w14:paraId="7BE6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93CC4ED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指标分类</w:t>
            </w:r>
          </w:p>
        </w:tc>
        <w:tc>
          <w:tcPr>
            <w:tcW w:w="1704" w:type="dxa"/>
          </w:tcPr>
          <w:p w14:paraId="04F43D2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具体指标</w:t>
            </w:r>
          </w:p>
        </w:tc>
        <w:tc>
          <w:tcPr>
            <w:tcW w:w="964" w:type="dxa"/>
          </w:tcPr>
          <w:p w14:paraId="5A619AE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2445" w:type="dxa"/>
          </w:tcPr>
          <w:p w14:paraId="31254CCD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05" w:type="dxa"/>
          </w:tcPr>
          <w:p w14:paraId="6A17C9A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2714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restart"/>
          </w:tcPr>
          <w:p w14:paraId="7D4F3D6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物理性</w:t>
            </w:r>
          </w:p>
        </w:tc>
        <w:tc>
          <w:tcPr>
            <w:tcW w:w="1704" w:type="dxa"/>
          </w:tcPr>
          <w:p w14:paraId="045E9FC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温度</w:t>
            </w:r>
          </w:p>
        </w:tc>
        <w:tc>
          <w:tcPr>
            <w:tcW w:w="964" w:type="dxa"/>
          </w:tcPr>
          <w:p w14:paraId="354AC13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℃</w:t>
            </w:r>
          </w:p>
        </w:tc>
        <w:tc>
          <w:tcPr>
            <w:tcW w:w="2445" w:type="dxa"/>
          </w:tcPr>
          <w:p w14:paraId="150EAA6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夏季：22～28&lt;br&gt;</w:t>
            </w:r>
          </w:p>
          <w:p w14:paraId="1DCF47E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冬季：16～24</w:t>
            </w:r>
          </w:p>
        </w:tc>
        <w:tc>
          <w:tcPr>
            <w:tcW w:w="1705" w:type="dxa"/>
          </w:tcPr>
          <w:p w14:paraId="3668C89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F3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2AEAAAA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730497C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相对湿度</w:t>
            </w:r>
          </w:p>
        </w:tc>
        <w:tc>
          <w:tcPr>
            <w:tcW w:w="964" w:type="dxa"/>
          </w:tcPr>
          <w:p w14:paraId="72B6F08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%</w:t>
            </w:r>
          </w:p>
        </w:tc>
        <w:tc>
          <w:tcPr>
            <w:tcW w:w="2445" w:type="dxa"/>
          </w:tcPr>
          <w:p w14:paraId="00926430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夏季：40～80&lt;br&gt;</w:t>
            </w:r>
          </w:p>
          <w:p w14:paraId="2287691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冬季：30～60</w:t>
            </w:r>
          </w:p>
        </w:tc>
        <w:tc>
          <w:tcPr>
            <w:tcW w:w="1705" w:type="dxa"/>
          </w:tcPr>
          <w:p w14:paraId="46D412E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bookmarkStart w:id="0" w:name="_GoBack"/>
            <w:bookmarkEnd w:id="0"/>
          </w:p>
        </w:tc>
      </w:tr>
      <w:tr w14:paraId="7611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48ED6AE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2572F9F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新风量</w:t>
            </w:r>
          </w:p>
        </w:tc>
        <w:tc>
          <w:tcPr>
            <w:tcW w:w="964" w:type="dxa"/>
          </w:tcPr>
          <w:p w14:paraId="25D0A8F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m³/(h·人)</w:t>
            </w:r>
          </w:p>
        </w:tc>
        <w:tc>
          <w:tcPr>
            <w:tcW w:w="2445" w:type="dxa"/>
          </w:tcPr>
          <w:p w14:paraId="54DDD58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≥30</w:t>
            </w:r>
          </w:p>
        </w:tc>
        <w:tc>
          <w:tcPr>
            <w:tcW w:w="1705" w:type="dxa"/>
          </w:tcPr>
          <w:p w14:paraId="5A6BD91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2CF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restart"/>
          </w:tcPr>
          <w:p w14:paraId="58AFD0A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化学性</w:t>
            </w:r>
          </w:p>
        </w:tc>
        <w:tc>
          <w:tcPr>
            <w:tcW w:w="1704" w:type="dxa"/>
          </w:tcPr>
          <w:p w14:paraId="6E7FF85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甲醛(HCHO)</w:t>
            </w:r>
          </w:p>
        </w:tc>
        <w:tc>
          <w:tcPr>
            <w:tcW w:w="964" w:type="dxa"/>
          </w:tcPr>
          <w:p w14:paraId="51F9F30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5CDB121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≤0.08</w:t>
            </w:r>
          </w:p>
        </w:tc>
        <w:tc>
          <w:tcPr>
            <w:tcW w:w="1705" w:type="dxa"/>
          </w:tcPr>
          <w:p w14:paraId="5E8D79B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0E6F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240CD09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594624A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苯(C₆H₆)</w:t>
            </w:r>
          </w:p>
        </w:tc>
        <w:tc>
          <w:tcPr>
            <w:tcW w:w="964" w:type="dxa"/>
          </w:tcPr>
          <w:p w14:paraId="0727CBA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18BE92F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≤0.03</w:t>
            </w:r>
          </w:p>
        </w:tc>
        <w:tc>
          <w:tcPr>
            <w:tcW w:w="1705" w:type="dxa"/>
          </w:tcPr>
          <w:p w14:paraId="5AA11D2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4794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052A1AA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23216AD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甲苯(C₇H₈)</w:t>
            </w:r>
          </w:p>
        </w:tc>
        <w:tc>
          <w:tcPr>
            <w:tcW w:w="964" w:type="dxa"/>
          </w:tcPr>
          <w:p w14:paraId="675D493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7A4542B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0997DD5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31A5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672495E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4D63703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二甲苯(C₈H₁₀)</w:t>
            </w:r>
          </w:p>
        </w:tc>
        <w:tc>
          <w:tcPr>
            <w:tcW w:w="964" w:type="dxa"/>
          </w:tcPr>
          <w:p w14:paraId="6F0AE84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5C26D96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1585369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556D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3037630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6D01DB9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总挥发性有机化合物(TVOC)</w:t>
            </w:r>
          </w:p>
        </w:tc>
        <w:tc>
          <w:tcPr>
            <w:tcW w:w="964" w:type="dxa"/>
          </w:tcPr>
          <w:p w14:paraId="36E6F79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77F813A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≤0.60</w:t>
            </w:r>
          </w:p>
        </w:tc>
        <w:tc>
          <w:tcPr>
            <w:tcW w:w="1705" w:type="dxa"/>
          </w:tcPr>
          <w:p w14:paraId="060EE9D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8小时平均</w:t>
            </w:r>
          </w:p>
        </w:tc>
      </w:tr>
      <w:tr w14:paraId="75BB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20D8DA6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4" w:type="dxa"/>
          </w:tcPr>
          <w:p w14:paraId="30EBFED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氨(NH₃)</w:t>
            </w:r>
          </w:p>
        </w:tc>
        <w:tc>
          <w:tcPr>
            <w:tcW w:w="964" w:type="dxa"/>
          </w:tcPr>
          <w:p w14:paraId="001DE80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2445" w:type="dxa"/>
          </w:tcPr>
          <w:p w14:paraId="292BD02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796BCD0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321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DE36B3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生物性</w:t>
            </w:r>
          </w:p>
        </w:tc>
        <w:tc>
          <w:tcPr>
            <w:tcW w:w="1704" w:type="dxa"/>
          </w:tcPr>
          <w:p w14:paraId="430D95D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细菌总数</w:t>
            </w:r>
          </w:p>
        </w:tc>
        <w:tc>
          <w:tcPr>
            <w:tcW w:w="964" w:type="dxa"/>
          </w:tcPr>
          <w:p w14:paraId="6173F01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CFU/m³</w:t>
            </w:r>
          </w:p>
        </w:tc>
        <w:tc>
          <w:tcPr>
            <w:tcW w:w="2445" w:type="dxa"/>
          </w:tcPr>
          <w:p w14:paraId="707E9BE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≤1500</w:t>
            </w:r>
          </w:p>
        </w:tc>
        <w:tc>
          <w:tcPr>
            <w:tcW w:w="1705" w:type="dxa"/>
          </w:tcPr>
          <w:p w14:paraId="09B59E8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15313D87">
      <w:pPr>
        <w:spacing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表1室内空气质量指标及要求（主要参数）</w:t>
      </w:r>
    </w:p>
    <w:p w14:paraId="71D6598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注：以上限值为标准状态（大气压101.325kPa，温度298.15K）下的要求。</w:t>
      </w:r>
    </w:p>
    <w:p w14:paraId="3C896C60">
      <w:pPr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</w:rPr>
        <w:t>四、装修材料污染控制设计</w:t>
      </w:r>
    </w:p>
    <w:p w14:paraId="170C156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1.材料污染物释放率分级（依据JGJ/T436-2018第3.3.2条）</w:t>
      </w:r>
    </w:p>
    <w:p w14:paraId="3FD8C81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为保证室内空气质量达到表1要求，所有主要装修材料的污染物释放率应满足相应等级要求。本工程主要材料污染物释放率限量按表2执行。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0D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D15A9D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污染物</w:t>
            </w:r>
          </w:p>
        </w:tc>
        <w:tc>
          <w:tcPr>
            <w:tcW w:w="1704" w:type="dxa"/>
          </w:tcPr>
          <w:p w14:paraId="329910C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F1(优)</w:t>
            </w:r>
          </w:p>
        </w:tc>
        <w:tc>
          <w:tcPr>
            <w:tcW w:w="1704" w:type="dxa"/>
          </w:tcPr>
          <w:p w14:paraId="57AEDBC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F2(良)</w:t>
            </w:r>
          </w:p>
        </w:tc>
        <w:tc>
          <w:tcPr>
            <w:tcW w:w="1705" w:type="dxa"/>
          </w:tcPr>
          <w:p w14:paraId="0FE8FDB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F3(合格)</w:t>
            </w:r>
          </w:p>
        </w:tc>
        <w:tc>
          <w:tcPr>
            <w:tcW w:w="1705" w:type="dxa"/>
          </w:tcPr>
          <w:p w14:paraId="71DBD19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F4(限值)</w:t>
            </w:r>
          </w:p>
        </w:tc>
      </w:tr>
      <w:tr w14:paraId="3C39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9B1624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甲醛</w:t>
            </w:r>
          </w:p>
        </w:tc>
        <w:tc>
          <w:tcPr>
            <w:tcW w:w="1704" w:type="dxa"/>
          </w:tcPr>
          <w:p w14:paraId="310864B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≤0.01</w:t>
            </w:r>
          </w:p>
        </w:tc>
        <w:tc>
          <w:tcPr>
            <w:tcW w:w="1704" w:type="dxa"/>
          </w:tcPr>
          <w:p w14:paraId="79D0525E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≤0.03</w:t>
            </w:r>
          </w:p>
        </w:tc>
        <w:tc>
          <w:tcPr>
            <w:tcW w:w="1705" w:type="dxa"/>
          </w:tcPr>
          <w:p w14:paraId="289D991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≤0.06</w:t>
            </w:r>
          </w:p>
        </w:tc>
        <w:tc>
          <w:tcPr>
            <w:tcW w:w="1705" w:type="dxa"/>
          </w:tcPr>
          <w:p w14:paraId="074B61C6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≤0.12</w:t>
            </w:r>
          </w:p>
        </w:tc>
      </w:tr>
      <w:tr w14:paraId="65B8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141B16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苯</w:t>
            </w:r>
          </w:p>
        </w:tc>
        <w:tc>
          <w:tcPr>
            <w:tcW w:w="1704" w:type="dxa"/>
          </w:tcPr>
          <w:p w14:paraId="32C8355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≤0.01</w:t>
            </w:r>
          </w:p>
        </w:tc>
        <w:tc>
          <w:tcPr>
            <w:tcW w:w="1704" w:type="dxa"/>
          </w:tcPr>
          <w:p w14:paraId="71313DF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≤0.03</w:t>
            </w:r>
          </w:p>
        </w:tc>
        <w:tc>
          <w:tcPr>
            <w:tcW w:w="1705" w:type="dxa"/>
          </w:tcPr>
          <w:p w14:paraId="028056A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≤0.06</w:t>
            </w:r>
          </w:p>
        </w:tc>
        <w:tc>
          <w:tcPr>
            <w:tcW w:w="1705" w:type="dxa"/>
          </w:tcPr>
          <w:p w14:paraId="1262656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≤0.12</w:t>
            </w:r>
          </w:p>
        </w:tc>
      </w:tr>
      <w:tr w14:paraId="5F9C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3AC095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TVOC</w:t>
            </w:r>
          </w:p>
        </w:tc>
        <w:tc>
          <w:tcPr>
            <w:tcW w:w="1704" w:type="dxa"/>
          </w:tcPr>
          <w:p w14:paraId="7C4F3CA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≤0.04</w:t>
            </w:r>
          </w:p>
        </w:tc>
        <w:tc>
          <w:tcPr>
            <w:tcW w:w="1704" w:type="dxa"/>
          </w:tcPr>
          <w:p w14:paraId="61ADD0E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533F600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≤0.40</w:t>
            </w:r>
          </w:p>
        </w:tc>
        <w:tc>
          <w:tcPr>
            <w:tcW w:w="1705" w:type="dxa"/>
          </w:tcPr>
          <w:p w14:paraId="5F5E85E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≤0.80</w:t>
            </w:r>
          </w:p>
        </w:tc>
      </w:tr>
    </w:tbl>
    <w:p w14:paraId="7AF7A769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表2材料污染物释放率等级及限量[mg/(m²·h)]</w:t>
      </w:r>
    </w:p>
    <w:p w14:paraId="4D5627C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注：本工程对甲醛、苯、TVOC的释放率要求不低于F3级。</w:t>
      </w:r>
    </w:p>
    <w:p w14:paraId="72383ED2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2.材料选用要求（依据JGJ/T461-2019第5章及JGJ/T436-2018第4章）</w:t>
      </w:r>
    </w:p>
    <w:p w14:paraId="5B71BE6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优先选用低释放材料：宜优先选用污染物释放率等级为F1、F2级的材料。所有材料应符合国家现行相关产品标准（如GB18580~18587）的规定。</w:t>
      </w:r>
    </w:p>
    <w:p w14:paraId="59411C4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人造板及木制品：应选用甲醛释放率符合F3级及以上要求的产品。</w:t>
      </w:r>
    </w:p>
    <w:p w14:paraId="753773F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涂料、胶粘剂：内墙涂料、木器涂料、胶粘剂等应选用低VOCs、低甲醛含量的产品，并符合表2要求。施工辅助用涂料的有害物限量应符合JGJ/T436-2018表5.2.1的规定。</w:t>
      </w:r>
    </w:p>
    <w:p w14:paraId="39728FF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地毯、壁纸：应选用污染物释放率符合国家现行标准的产品。</w:t>
      </w:r>
    </w:p>
    <w:p w14:paraId="7AB8998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固定家具：应选用工厂化生产的产品，并提供其污染物释放率检测报告，其释放率应符合设计要求。</w:t>
      </w:r>
    </w:p>
    <w:p w14:paraId="34584595">
      <w:pPr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五、通风与净化系统设计</w:t>
      </w:r>
    </w:p>
    <w:p w14:paraId="7CFE3C4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1.通风设计：为保证室内空气质量，应确保各功能房间的通风换气次数满足要求。当自然通风不足时，应设置机械通风系统。设计最小新风量应符合GB50736的规定，并宜按JGJ/T461-2019第3.6节进行修正。</w:t>
      </w:r>
    </w:p>
    <w:p w14:paraId="67E6FE2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空气净化系统：当仅靠通风无法满足室内空气质量要求时，应设置空气净化系统。净化设备的洁净空气量（CADR）应根据室内污染源强、室外计算浓度、换气次数等参数，按JGJ/T461-2019第3.8节规定进行计算和选型。</w:t>
      </w:r>
    </w:p>
    <w:p w14:paraId="27AFD71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3.净化设备要求：通风系统用空气净化设备性能应符合GB/T34012的规定，空气净化器性能应符合GB/T18801的规定。</w:t>
      </w:r>
    </w:p>
    <w:p w14:paraId="6B4209E6">
      <w:pPr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六、施工阶段污染控制（依据JGJ/T436-2018第5章）</w:t>
      </w:r>
    </w:p>
    <w:p w14:paraId="4901D68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1.材料进场检验：所有主要材料进场时，应复核其污染物释放率检测报告。当材料使用面积大于500m²时，应按要求进行抽检复验，复验指标须满足设计要求。</w:t>
      </w:r>
    </w:p>
    <w:p w14:paraId="4F08B00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2.施工辅助材料：施工中使用的墙体底漆、防水涂料、腻子、填缝剂、胶粘剂等辅助材料，其有害物限量应符合JGJ/T436-2018第5.2条的规定。</w:t>
      </w:r>
    </w:p>
    <w:p w14:paraId="716EE31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3.施工过程控制：</w:t>
      </w:r>
    </w:p>
    <w:p w14:paraId="3F55E95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严禁使用苯、工业苯、石油苯等作为稀释剂和溶剂（依据JGJ/T436-2018第5.4.1条）。</w:t>
      </w:r>
    </w:p>
    <w:p w14:paraId="4FF6D77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涂料、胶粘剂等使用后应及时封闭存放，废料及时清运，严禁在室内用有机溶剂清洗施工用具。</w:t>
      </w:r>
    </w:p>
    <w:p w14:paraId="78E6240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现场施工应符合职业卫生要求，并采取必要措施减少扬尘和二次污染。</w:t>
      </w:r>
    </w:p>
    <w:p w14:paraId="3A73508E">
      <w:pPr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七、检测与验收</w:t>
      </w:r>
    </w:p>
    <w:p w14:paraId="07AFB38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1.检测时机：室内空气质量检测宜在装饰装修工程完工7天后、工程交付使用前进行（依据JGJ/T436-2018第6.0.1条）。</w:t>
      </w:r>
    </w:p>
    <w:p w14:paraId="1BCB2A4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2.检测方法：检测方法应符合GB/T18883-2022附录A及第6.0.7条的规定。甲醛采用酚试剂分光光度法，苯系物采用气相色谱法，TVOC采用热解吸-气相色谱质谱法，氨采用纳氏试剂分光光度法等。</w:t>
      </w:r>
    </w:p>
    <w:p w14:paraId="443B193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3.验收标准：验收时，室内空气中甲醛、苯、甲苯、二甲苯、TVOC、氨等污染物浓度必须符合本说明表1的限值要求。检测结果不合格者，不得交付使用。</w:t>
      </w:r>
    </w:p>
    <w:p w14:paraId="1509DB3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4.抽检比例：抽检房间数量应符合JGJ/T436-2018第6.0.2条的规定。</w:t>
      </w:r>
    </w:p>
    <w:p w14:paraId="331763D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八、施工与使用管理要求</w:t>
      </w:r>
    </w:p>
    <w:p w14:paraId="208E47D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1.禁烟要求：为保障室内空气质量，建筑室内和建筑主出入口处应禁止吸烟，并应在醒目位置设置禁烟标志。任何人员不得在禁烟区域内吸烟。</w:t>
      </w:r>
    </w:p>
    <w:p w14:paraId="73942E6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2.成品保护：装修完成后，在交付使用前，应保持室内通风，加速污染物散发。</w:t>
      </w:r>
    </w:p>
    <w:p w14:paraId="4527341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3.文件归档：工程验收时，应检查并归档合同、装修设计文件、污染物控制设计计算书、材料污染物释放率检测报告、进场检验记录、复验报告及室内空气质量检测报告等文件。</w:t>
      </w:r>
    </w:p>
    <w:p w14:paraId="47AD89E4">
      <w:pPr>
        <w:spacing w:line="360" w:lineRule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7BF4"/>
    <w:rsid w:val="41916F22"/>
    <w:rsid w:val="5127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2026-03-20T14:17:00Z</dcterms:created>
  <dc:creator>蜗</dc:creator>
  <cp:lastModifiedBy>蜗</cp:lastModifiedBy>
  <dcterms:modified xsi:type="dcterms:W3CDTF">2026-03-20T15:17:56Z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9F91A57685684AFCB3653673B143AB86_11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