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EE344">
      <w:pPr>
        <w:pStyle w:val="3"/>
        <w:bidi w:val="0"/>
      </w:pPr>
      <w:r>
        <w:t>场地年径流总量控制率计算书</w:t>
      </w:r>
    </w:p>
    <w:p w14:paraId="35AF99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一、计算核心依据</w:t>
      </w:r>
    </w:p>
    <w:p w14:paraId="2E41C5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以《建筑与小区雨水控制及利用工程技术规范》《海绵城市建设评价标准》《室外排水设计标准》为核心规范，结合项目场地竖向设计、雨水收排 / 下渗 / 滞蓄 / 回用专项设计文件开展计算，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适用于用地面积＞10hm²、需做雨水控制利用专项设计的场地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。</w:t>
      </w:r>
    </w:p>
    <w:p w14:paraId="1D4E853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二、项目基础概况</w:t>
      </w:r>
    </w:p>
    <w:p w14:paraId="12F150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明确计算所需的项目核心信息，包括项目名称、建设地点、总用地面积（F＞10hm²）、设计内容（竖向优化 + 雨水全流程系统组织），并需提前确定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24"/>
          <w:szCs w:val="24"/>
          <w:lang w:val="en-US" w:eastAsia="zh-CN" w:bidi="ar"/>
        </w:rPr>
        <w:t>年径流总量控制率目标值（α≥XX%）</w:t>
      </w: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（按项目所在地海绵城市规划要求取值）。</w:t>
      </w:r>
    </w:p>
    <w:p w14:paraId="288018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三、核心定义与计算公式</w:t>
      </w:r>
    </w:p>
    <w:p w14:paraId="272892E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</w:rPr>
        <w:t>年径流总量控制率定义</w:t>
      </w:r>
      <w:r>
        <w:rPr>
          <w:color w:val="1F2329"/>
          <w:sz w:val="24"/>
          <w:szCs w:val="24"/>
        </w:rPr>
        <w:t>：通过自然 / 人工方式（渗透、滞蓄、集蓄、回用等），场地全年被控制的雨量占全年总降雨量的百分比，是海绵城市建设核心指标。</w:t>
      </w:r>
    </w:p>
    <w:p w14:paraId="6AC54AB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</w:rPr>
        <w:t>4 个核心计算公式</w:t>
      </w:r>
      <w:r>
        <w:rPr>
          <w:color w:val="1F2329"/>
          <w:sz w:val="24"/>
          <w:szCs w:val="24"/>
        </w:rPr>
        <w:t>：涵盖综合径流系数、设计调蓄容积、年径流总量控制率的计算及外排总降雨的校核，均为加权平均法 / 容积法，符号含义清晰界定（如 ψzc 为综合径流系数、V 为设计调蓄容积、h 为设计降雨量等）。</w:t>
      </w:r>
    </w:p>
    <w:p w14:paraId="2ED85D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四、标准化计算步骤</w:t>
      </w:r>
    </w:p>
    <w:p w14:paraId="45C460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为计算的核心环节，按固定流程开展，各步骤要求明确：</w:t>
      </w:r>
    </w:p>
    <w:p w14:paraId="0DBD88A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</w:rPr>
        <w:t>下垫面划分与参数取值</w:t>
      </w:r>
      <w:r>
        <w:rPr>
          <w:color w:val="1F2329"/>
          <w:sz w:val="24"/>
          <w:szCs w:val="24"/>
        </w:rPr>
        <w:t>：将场地划分为屋面、硬化路面、透水铺装、绿地、水体、雨水设施区 6 类下垫面，明确每类下垫面的径流系数取值范围（如不透水屋面 0.85~0.95、绿地 0.10~0.20），需统计各类下垫面面积 Fi。</w:t>
      </w:r>
    </w:p>
    <w:p w14:paraId="4E069BF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</w:rPr>
        <w:t>综合径流系数计算</w:t>
      </w:r>
      <w:r>
        <w:rPr>
          <w:color w:val="1F2329"/>
          <w:sz w:val="24"/>
          <w:szCs w:val="24"/>
        </w:rPr>
        <w:t>：按加权平均法核算场地整体综合雨量径流系数 ψzc，作为后续计算基础。</w:t>
      </w:r>
    </w:p>
    <w:p w14:paraId="2BE58B5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</w:rPr>
        <w:t>设计降雨量选取</w:t>
      </w:r>
      <w:r>
        <w:rPr>
          <w:color w:val="1F2329"/>
          <w:sz w:val="24"/>
          <w:szCs w:val="24"/>
        </w:rPr>
        <w:t>：依据项目所在地近 30 年日降雨资料（扣除≤2mm 降雨与降雪），按预设的控制率目标值，查取对应的设计降雨量 h（单位：mm）。</w:t>
      </w:r>
    </w:p>
    <w:p w14:paraId="28B05BE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</w:rPr>
        <w:t>雨水控制总量计算</w:t>
      </w:r>
      <w:r>
        <w:rPr>
          <w:color w:val="1F2329"/>
          <w:sz w:val="24"/>
          <w:szCs w:val="24"/>
        </w:rPr>
        <w:t>：通过容积法计算场地所需的设计调蓄 / 控制容积 V（单位：m³），指导雨水滞蓄、调蓄设施的设计规模。</w:t>
      </w:r>
    </w:p>
    <w:p w14:paraId="3DAA461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rStyle w:val="7"/>
          <w:b/>
          <w:bCs/>
          <w:color w:val="1F2329"/>
          <w:sz w:val="24"/>
          <w:szCs w:val="24"/>
        </w:rPr>
        <w:t>年径流总量控制率核算</w:t>
      </w:r>
      <w:r>
        <w:rPr>
          <w:color w:val="1F2329"/>
          <w:sz w:val="24"/>
          <w:szCs w:val="24"/>
        </w:rPr>
        <w:t>：将场地汇水面 / 设施划分为不透水下垫面、透水下垫面、渗透 / 滞蓄设施、雨水回用系统等类型，明确各类别控制率 αi（如设施类 100%、无设施不透水面 0），按加权平均法计算最终控制率 α。</w:t>
      </w:r>
    </w:p>
    <w:p w14:paraId="6080113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五、结论标准化判定</w:t>
      </w:r>
    </w:p>
    <w:p w14:paraId="2419FF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1F2329"/>
          <w:sz w:val="24"/>
          <w:szCs w:val="24"/>
        </w:rPr>
      </w:pPr>
      <w:r>
        <w:rPr>
          <w:rFonts w:ascii="宋体" w:hAnsi="宋体" w:eastAsia="宋体" w:cs="宋体"/>
          <w:color w:val="1F2329"/>
          <w:kern w:val="0"/>
          <w:sz w:val="24"/>
          <w:szCs w:val="24"/>
          <w:lang w:val="en-US" w:eastAsia="zh-CN" w:bidi="ar"/>
        </w:rPr>
        <w:t>计算完成后按 3 个固定维度出具结论，明确设计是否达标：</w:t>
      </w:r>
    </w:p>
    <w:p w14:paraId="6F06566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确认场地用地面积符合专项设计要求，已完成雨水控制利用专项设计；</w:t>
      </w:r>
    </w:p>
    <w:p w14:paraId="3B39BFD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rPr>
          <w:color w:val="1F2329"/>
          <w:sz w:val="24"/>
          <w:szCs w:val="24"/>
        </w:rPr>
      </w:pPr>
      <w:r>
        <w:rPr>
          <w:color w:val="1F2329"/>
          <w:sz w:val="24"/>
          <w:szCs w:val="24"/>
        </w:rPr>
        <w:t>明确计算得出的年径流总量控制率 α 具体数值，判定</w:t>
      </w:r>
      <w:r>
        <w:rPr>
          <w:rStyle w:val="7"/>
          <w:b/>
          <w:bCs/>
          <w:color w:val="1F2329"/>
          <w:sz w:val="24"/>
          <w:szCs w:val="24"/>
        </w:rPr>
        <w:t>是否满足</w:t>
      </w:r>
      <w:r>
        <w:rPr>
          <w:color w:val="1F2329"/>
          <w:sz w:val="24"/>
          <w:szCs w:val="24"/>
        </w:rPr>
        <w:t>当地规划目标（α≥XX%）；</w:t>
      </w:r>
    </w:p>
    <w:p w14:paraId="785CE27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</w:pPr>
      <w:r>
        <w:rPr>
          <w:color w:val="1F2329"/>
          <w:sz w:val="24"/>
          <w:szCs w:val="24"/>
        </w:rPr>
        <w:t>评价场地竖向设计对雨水收集、排放、下渗、滞蓄、回用的适配性，明确径流组织是否安全合理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99DEFC"/>
    <w:multiLevelType w:val="multilevel"/>
    <w:tmpl w:val="8499DEF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EF08C83"/>
    <w:multiLevelType w:val="multilevel"/>
    <w:tmpl w:val="AEF08C8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10F358AD"/>
    <w:multiLevelType w:val="multilevel"/>
    <w:tmpl w:val="10F358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50961"/>
    <w:rsid w:val="064118AD"/>
    <w:rsid w:val="32CA0CE2"/>
    <w:rsid w:val="68DF6DE4"/>
    <w:rsid w:val="6B85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</Words>
  <Characters>981</Characters>
  <Lines>0</Lines>
  <Paragraphs>0</Paragraphs>
  <TotalTime>6</TotalTime>
  <ScaleCrop>false</ScaleCrop>
  <LinksUpToDate>false</LinksUpToDate>
  <CharactersWithSpaces>1023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2026-03-05T08:26:00Z</dcterms:created>
  <dc:creator>厄十衣</dc:creator>
  <cp:lastModifiedBy>厄十衣</cp:lastModifiedBy>
  <dcterms:modified xsi:type="dcterms:W3CDTF">2026-03-18T15:29:17Z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928A66A08C5347788F9900519F91AB52_13</vt:lpwstr>
  </property>
  <property fmtid="{D5CDD505-2E9C-101B-9397-08002B2CF9AE}" pid="4" name="KSOTemplateDocerSaveRecord">
    <vt:lpwstr>eyJoZGlkIjoiOTEyNzQyYTFjNWQ0MTE2ZGYzNjllM2JiOTRiMzJjYmYiLCJ1c2VySWQiOiI4NjE4MDk4NDAifQ==</vt:lpwstr>
  </property>
</Properties>
</file>