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BD8D32D">
      <w:pPr>
        <w:jc w:val="center"/>
        <w:rPr>
          <w:rFonts w:hint="eastAsia" w:ascii="黑体" w:hAnsi="黑体" w:eastAsia="黑体" w:cs="黑体"/>
          <w:b/>
          <w:bCs/>
          <w:sz w:val="32"/>
          <w:szCs w:val="40"/>
        </w:rPr>
      </w:pPr>
      <w:r>
        <w:rPr>
          <w:rFonts w:hint="eastAsia" w:ascii="黑体" w:hAnsi="黑体" w:eastAsia="黑体" w:cs="黑体"/>
          <w:b/>
          <w:bCs/>
          <w:sz w:val="32"/>
          <w:szCs w:val="40"/>
        </w:rPr>
        <w:t>人车分流与步行交通照明专项设计说明</w:t>
      </w:r>
    </w:p>
    <w:p w14:paraId="26D12908">
      <w:pPr>
        <w:rPr>
          <w:rFonts w:hint="eastAsia" w:ascii="宋体" w:hAnsi="宋体" w:eastAsia="宋体" w:cs="宋体"/>
          <w:b/>
          <w:bCs/>
          <w:sz w:val="28"/>
          <w:szCs w:val="36"/>
        </w:rPr>
      </w:pPr>
      <w:r>
        <w:rPr>
          <w:rFonts w:hint="eastAsia" w:ascii="宋体" w:hAnsi="宋体" w:eastAsia="宋体" w:cs="宋体"/>
          <w:b/>
          <w:bCs/>
          <w:sz w:val="28"/>
          <w:szCs w:val="36"/>
        </w:rPr>
        <w:t>第一章编制依据</w:t>
      </w:r>
      <w:bookmarkStart w:id="0" w:name="_GoBack"/>
      <w:bookmarkEnd w:id="0"/>
    </w:p>
    <w:p w14:paraId="1B6076EC">
      <w:pPr>
        <w:rPr>
          <w:rFonts w:hint="eastAsia" w:ascii="宋体" w:hAnsi="宋体" w:eastAsia="宋体" w:cs="宋体"/>
          <w:b/>
          <w:bCs/>
          <w:sz w:val="24"/>
          <w:szCs w:val="32"/>
        </w:rPr>
      </w:pPr>
      <w:r>
        <w:rPr>
          <w:rFonts w:hint="eastAsia" w:ascii="宋体" w:hAnsi="宋体" w:eastAsia="宋体" w:cs="宋体"/>
          <w:b/>
          <w:bCs/>
          <w:sz w:val="24"/>
          <w:szCs w:val="32"/>
        </w:rPr>
        <w:t>1.1设计原则</w:t>
      </w:r>
    </w:p>
    <w:p w14:paraId="587D9D61">
      <w:pPr>
        <w:rPr>
          <w:rFonts w:hint="eastAsia" w:ascii="宋体" w:hAnsi="宋体" w:eastAsia="宋体" w:cs="宋体"/>
          <w:sz w:val="24"/>
          <w:szCs w:val="32"/>
        </w:rPr>
      </w:pPr>
      <w:r>
        <w:rPr>
          <w:rFonts w:hint="eastAsia" w:ascii="宋体" w:hAnsi="宋体" w:eastAsia="宋体" w:cs="宋体"/>
          <w:sz w:val="24"/>
          <w:szCs w:val="32"/>
        </w:rPr>
        <w:t>本工程贯彻“以人为本、安全优先、绿色低碳”的设计理念，结合武夷山山地地形特征，构建人车分流、安全舒适的步行与自行车交通系统，并配套完善的照明设施，满足《绿色建筑评价标准》GB/T503782019第4.2.5条关于“采取人车分流措施，且步行和自行车交通系统有充足照明”的要求。</w:t>
      </w:r>
    </w:p>
    <w:p w14:paraId="0C5DF8E6">
      <w:pPr>
        <w:rPr>
          <w:rFonts w:hint="eastAsia" w:ascii="宋体" w:hAnsi="宋体" w:eastAsia="宋体" w:cs="宋体"/>
          <w:b/>
          <w:bCs/>
          <w:sz w:val="24"/>
          <w:szCs w:val="32"/>
        </w:rPr>
      </w:pPr>
      <w:r>
        <w:rPr>
          <w:rFonts w:hint="eastAsia" w:ascii="宋体" w:hAnsi="宋体" w:eastAsia="宋体" w:cs="宋体"/>
          <w:b/>
          <w:bCs/>
          <w:sz w:val="24"/>
          <w:szCs w:val="32"/>
        </w:rPr>
        <w:t>1.2编制依据</w:t>
      </w:r>
    </w:p>
    <w:p w14:paraId="29FBC681">
      <w:pPr>
        <w:rPr>
          <w:rFonts w:hint="eastAsia" w:ascii="宋体" w:hAnsi="宋体" w:eastAsia="宋体" w:cs="宋体"/>
          <w:sz w:val="24"/>
          <w:szCs w:val="32"/>
        </w:rPr>
      </w:pPr>
      <w:r>
        <w:rPr>
          <w:rFonts w:hint="eastAsia" w:ascii="宋体" w:hAnsi="宋体" w:eastAsia="宋体" w:cs="宋体"/>
          <w:sz w:val="24"/>
          <w:szCs w:val="32"/>
        </w:rPr>
        <w:t>1.《建筑环境通用规范》GB550162021</w:t>
      </w:r>
    </w:p>
    <w:p w14:paraId="5F2D42F6">
      <w:pPr>
        <w:rPr>
          <w:rFonts w:hint="eastAsia" w:ascii="宋体" w:hAnsi="宋体" w:eastAsia="宋体" w:cs="宋体"/>
          <w:sz w:val="24"/>
          <w:szCs w:val="32"/>
        </w:rPr>
      </w:pPr>
      <w:r>
        <w:rPr>
          <w:rFonts w:hint="eastAsia" w:ascii="宋体" w:hAnsi="宋体" w:eastAsia="宋体" w:cs="宋体"/>
          <w:sz w:val="24"/>
          <w:szCs w:val="32"/>
        </w:rPr>
        <w:t>2.《城市道路交通设施设计规范》GB506882011</w:t>
      </w:r>
    </w:p>
    <w:p w14:paraId="238961BA">
      <w:pPr>
        <w:rPr>
          <w:rFonts w:hint="eastAsia" w:ascii="宋体" w:hAnsi="宋体" w:eastAsia="宋体" w:cs="宋体"/>
          <w:sz w:val="24"/>
          <w:szCs w:val="32"/>
        </w:rPr>
      </w:pPr>
      <w:r>
        <w:rPr>
          <w:rFonts w:hint="eastAsia" w:ascii="宋体" w:hAnsi="宋体" w:eastAsia="宋体" w:cs="宋体"/>
          <w:sz w:val="24"/>
          <w:szCs w:val="32"/>
        </w:rPr>
        <w:t>3.《城市道路照明设计标准》CJJ452015</w:t>
      </w:r>
    </w:p>
    <w:p w14:paraId="51D5B6EC">
      <w:pPr>
        <w:rPr>
          <w:rFonts w:hint="eastAsia" w:ascii="宋体" w:hAnsi="宋体" w:eastAsia="宋体" w:cs="宋体"/>
          <w:sz w:val="24"/>
          <w:szCs w:val="32"/>
        </w:rPr>
      </w:pPr>
      <w:r>
        <w:rPr>
          <w:rFonts w:hint="eastAsia" w:ascii="宋体" w:hAnsi="宋体" w:eastAsia="宋体" w:cs="宋体"/>
          <w:sz w:val="24"/>
          <w:szCs w:val="32"/>
        </w:rPr>
        <w:t>4.《无障碍设计规范》GB507632012</w:t>
      </w:r>
    </w:p>
    <w:p w14:paraId="6F1D1906">
      <w:pPr>
        <w:rPr>
          <w:rFonts w:hint="eastAsia" w:ascii="宋体" w:hAnsi="宋体" w:eastAsia="宋体" w:cs="宋体"/>
          <w:sz w:val="24"/>
          <w:szCs w:val="32"/>
        </w:rPr>
      </w:pPr>
      <w:r>
        <w:rPr>
          <w:rFonts w:hint="eastAsia" w:ascii="宋体" w:hAnsi="宋体" w:eastAsia="宋体" w:cs="宋体"/>
          <w:sz w:val="24"/>
          <w:szCs w:val="32"/>
        </w:rPr>
        <w:t>5.《绿色建筑评价标准》GB/T503782019</w:t>
      </w:r>
    </w:p>
    <w:p w14:paraId="1ECBE97F">
      <w:pPr>
        <w:rPr>
          <w:rFonts w:hint="eastAsia" w:ascii="宋体" w:hAnsi="宋体" w:eastAsia="宋体" w:cs="宋体"/>
          <w:sz w:val="24"/>
          <w:szCs w:val="32"/>
        </w:rPr>
      </w:pPr>
      <w:r>
        <w:rPr>
          <w:rFonts w:hint="eastAsia" w:ascii="宋体" w:hAnsi="宋体" w:eastAsia="宋体" w:cs="宋体"/>
          <w:sz w:val="24"/>
          <w:szCs w:val="32"/>
        </w:rPr>
        <w:t>6.本项目总平面图及道路交通设计图</w:t>
      </w:r>
    </w:p>
    <w:p w14:paraId="48B26995">
      <w:pPr>
        <w:rPr>
          <w:rFonts w:hint="eastAsia" w:ascii="宋体" w:hAnsi="宋体" w:eastAsia="宋体" w:cs="宋体"/>
          <w:b/>
          <w:bCs/>
          <w:sz w:val="28"/>
          <w:szCs w:val="36"/>
        </w:rPr>
      </w:pPr>
      <w:r>
        <w:rPr>
          <w:rFonts w:hint="eastAsia" w:ascii="宋体" w:hAnsi="宋体" w:eastAsia="宋体" w:cs="宋体"/>
          <w:b/>
          <w:bCs/>
          <w:sz w:val="28"/>
          <w:szCs w:val="36"/>
        </w:rPr>
        <w:t>第二章人车分流系统设计</w:t>
      </w:r>
    </w:p>
    <w:p w14:paraId="0098413F">
      <w:pPr>
        <w:rPr>
          <w:rFonts w:hint="eastAsia" w:ascii="宋体" w:hAnsi="宋体" w:eastAsia="宋体" w:cs="宋体"/>
          <w:sz w:val="24"/>
          <w:szCs w:val="32"/>
        </w:rPr>
      </w:pPr>
      <w:r>
        <w:rPr>
          <w:rFonts w:hint="eastAsia" w:ascii="宋体" w:hAnsi="宋体" w:eastAsia="宋体" w:cs="宋体"/>
          <w:b/>
          <w:bCs/>
          <w:sz w:val="24"/>
          <w:szCs w:val="32"/>
        </w:rPr>
        <w:t>2.1总体布局</w:t>
      </w:r>
    </w:p>
    <w:p w14:paraId="3DB9BAB2">
      <w:pPr>
        <w:rPr>
          <w:rFonts w:hint="eastAsia" w:ascii="宋体" w:hAnsi="宋体" w:eastAsia="宋体" w:cs="宋体"/>
          <w:sz w:val="24"/>
          <w:szCs w:val="32"/>
        </w:rPr>
      </w:pPr>
      <w:r>
        <w:rPr>
          <w:rFonts w:hint="eastAsia" w:ascii="宋体" w:hAnsi="宋体" w:eastAsia="宋体" w:cs="宋体"/>
          <w:sz w:val="24"/>
          <w:szCs w:val="32"/>
        </w:rPr>
        <w:t>本工程顺应东向台地地形，形成“外部机动车止步、内部电瓶车+步行”的人车分流体系：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left w:w="108" w:type="dxa"/>
          <w:right w:w="108" w:type="dxa"/>
        </w:tblCellMar>
      </w:tblPr>
      <w:tblGrid>
        <w:gridCol w:w="2130"/>
        <w:gridCol w:w="2130"/>
        <w:gridCol w:w="1935"/>
        <w:gridCol w:w="2327"/>
      </w:tblGrid>
      <w:tr w14:paraId="1ED2C8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2130" w:type="dxa"/>
            <w:vAlign w:val="center"/>
          </w:tcPr>
          <w:p w14:paraId="0C3CF240"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rPr>
                <w:rFonts w:hint="eastAsia" w:ascii="宋体" w:hAnsi="宋体" w:eastAsia="宋体" w:cs="宋体"/>
                <w:color w:val="auto"/>
                <w:sz w:val="24"/>
                <w:szCs w:val="32"/>
                <w:vertAlign w:val="baseline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lang w:val="en-US" w:eastAsia="zh-CN" w:bidi="ar"/>
              </w:rPr>
              <w:t>交通层级</w:t>
            </w:r>
          </w:p>
        </w:tc>
        <w:tc>
          <w:tcPr>
            <w:tcW w:w="2130" w:type="dxa"/>
            <w:vAlign w:val="center"/>
          </w:tcPr>
          <w:p w14:paraId="35B693E4"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rPr>
                <w:rFonts w:hint="eastAsia" w:ascii="宋体" w:hAnsi="宋体" w:eastAsia="宋体" w:cs="宋体"/>
                <w:color w:val="auto"/>
                <w:sz w:val="24"/>
                <w:szCs w:val="32"/>
                <w:vertAlign w:val="baseline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lang w:val="en-US" w:eastAsia="zh-CN" w:bidi="ar"/>
              </w:rPr>
              <w:t>交通工具</w:t>
            </w:r>
          </w:p>
        </w:tc>
        <w:tc>
          <w:tcPr>
            <w:tcW w:w="1935" w:type="dxa"/>
            <w:vAlign w:val="center"/>
          </w:tcPr>
          <w:p w14:paraId="56697A7E"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rPr>
                <w:rFonts w:hint="eastAsia" w:ascii="宋体" w:hAnsi="宋体" w:eastAsia="宋体" w:cs="宋体"/>
                <w:color w:val="auto"/>
                <w:sz w:val="24"/>
                <w:szCs w:val="32"/>
                <w:vertAlign w:val="baseline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lang w:val="en-US" w:eastAsia="zh-CN" w:bidi="ar"/>
              </w:rPr>
              <w:t>覆盖范围</w:t>
            </w:r>
          </w:p>
        </w:tc>
        <w:tc>
          <w:tcPr>
            <w:tcW w:w="2327" w:type="dxa"/>
            <w:vAlign w:val="center"/>
          </w:tcPr>
          <w:p w14:paraId="230B4655"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rPr>
                <w:rFonts w:hint="eastAsia" w:ascii="宋体" w:hAnsi="宋体" w:eastAsia="宋体" w:cs="宋体"/>
                <w:color w:val="auto"/>
                <w:sz w:val="24"/>
                <w:szCs w:val="32"/>
                <w:vertAlign w:val="baseline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lang w:val="en-US" w:eastAsia="zh-CN" w:bidi="ar"/>
              </w:rPr>
              <w:t>设计要点</w:t>
            </w:r>
          </w:p>
        </w:tc>
      </w:tr>
      <w:tr w14:paraId="5B16B1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2130" w:type="dxa"/>
            <w:vAlign w:val="center"/>
          </w:tcPr>
          <w:p w14:paraId="4297D279"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rPr>
                <w:rFonts w:hint="eastAsia" w:ascii="宋体" w:hAnsi="宋体" w:eastAsia="宋体" w:cs="宋体"/>
                <w:color w:val="auto"/>
                <w:sz w:val="24"/>
                <w:szCs w:val="32"/>
                <w:vertAlign w:val="baseline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lang w:val="en-US" w:eastAsia="zh-CN" w:bidi="ar"/>
              </w:rPr>
              <w:t>外部交通</w:t>
            </w:r>
          </w:p>
        </w:tc>
        <w:tc>
          <w:tcPr>
            <w:tcW w:w="2130" w:type="dxa"/>
            <w:vAlign w:val="center"/>
          </w:tcPr>
          <w:p w14:paraId="709B5004"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rPr>
                <w:rFonts w:hint="eastAsia" w:ascii="宋体" w:hAnsi="宋体" w:eastAsia="宋体" w:cs="宋体"/>
                <w:color w:val="auto"/>
                <w:sz w:val="24"/>
                <w:szCs w:val="32"/>
                <w:vertAlign w:val="baseline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lang w:val="en-US" w:eastAsia="zh-CN" w:bidi="ar"/>
              </w:rPr>
              <w:t>私家车、旅游大巴</w:t>
            </w:r>
          </w:p>
        </w:tc>
        <w:tc>
          <w:tcPr>
            <w:tcW w:w="1935" w:type="dxa"/>
            <w:vAlign w:val="center"/>
          </w:tcPr>
          <w:p w14:paraId="701F1C58"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rPr>
                <w:rFonts w:hint="eastAsia" w:ascii="宋体" w:hAnsi="宋体" w:eastAsia="宋体" w:cs="宋体"/>
                <w:color w:val="auto"/>
                <w:sz w:val="24"/>
                <w:szCs w:val="32"/>
                <w:vertAlign w:val="baseline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lang w:val="en-US" w:eastAsia="zh-CN" w:bidi="ar"/>
              </w:rPr>
              <w:t>山脚停车场</w:t>
            </w:r>
          </w:p>
        </w:tc>
        <w:tc>
          <w:tcPr>
            <w:tcW w:w="2327" w:type="dxa"/>
            <w:vAlign w:val="center"/>
          </w:tcPr>
          <w:p w14:paraId="53422153"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rPr>
                <w:rFonts w:hint="eastAsia" w:ascii="宋体" w:hAnsi="宋体" w:eastAsia="宋体" w:cs="宋体"/>
                <w:color w:val="auto"/>
                <w:sz w:val="24"/>
                <w:szCs w:val="32"/>
                <w:vertAlign w:val="baseline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lang w:val="en-US" w:eastAsia="zh-CN" w:bidi="ar"/>
              </w:rPr>
              <w:t>集中停车，设电瓶车换乘点</w:t>
            </w:r>
          </w:p>
        </w:tc>
      </w:tr>
      <w:tr w14:paraId="61E8E7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2130" w:type="dxa"/>
            <w:vAlign w:val="center"/>
          </w:tcPr>
          <w:p w14:paraId="12697575"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rPr>
                <w:rFonts w:hint="eastAsia" w:ascii="宋体" w:hAnsi="宋体" w:eastAsia="宋体" w:cs="宋体"/>
                <w:color w:val="auto"/>
                <w:sz w:val="24"/>
                <w:szCs w:val="32"/>
                <w:vertAlign w:val="baseline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lang w:val="en-US" w:eastAsia="zh-CN" w:bidi="ar"/>
              </w:rPr>
              <w:t>内部骨干交通</w:t>
            </w:r>
          </w:p>
        </w:tc>
        <w:tc>
          <w:tcPr>
            <w:tcW w:w="2130" w:type="dxa"/>
            <w:vAlign w:val="center"/>
          </w:tcPr>
          <w:p w14:paraId="4E227D43"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rPr>
                <w:rFonts w:hint="eastAsia" w:ascii="宋体" w:hAnsi="宋体" w:eastAsia="宋体" w:cs="宋体"/>
                <w:color w:val="auto"/>
                <w:sz w:val="24"/>
                <w:szCs w:val="32"/>
                <w:vertAlign w:val="baseline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lang w:val="en-US" w:eastAsia="zh-CN" w:bidi="ar"/>
              </w:rPr>
              <w:t>电瓶摆渡车</w:t>
            </w:r>
          </w:p>
        </w:tc>
        <w:tc>
          <w:tcPr>
            <w:tcW w:w="1935" w:type="dxa"/>
            <w:vAlign w:val="center"/>
          </w:tcPr>
          <w:p w14:paraId="142D9C5A"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rPr>
                <w:rFonts w:hint="eastAsia" w:ascii="宋体" w:hAnsi="宋体" w:eastAsia="宋体" w:cs="宋体"/>
                <w:color w:val="auto"/>
                <w:sz w:val="24"/>
                <w:szCs w:val="32"/>
                <w:vertAlign w:val="baseline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lang w:val="en-US" w:eastAsia="zh-CN" w:bidi="ar"/>
              </w:rPr>
              <w:t>主要服务通道</w:t>
            </w:r>
          </w:p>
        </w:tc>
        <w:tc>
          <w:tcPr>
            <w:tcW w:w="2327" w:type="dxa"/>
            <w:vAlign w:val="center"/>
          </w:tcPr>
          <w:p w14:paraId="2F80028A"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rPr>
                <w:rFonts w:hint="eastAsia" w:ascii="宋体" w:hAnsi="宋体" w:eastAsia="宋体" w:cs="宋体"/>
                <w:color w:val="auto"/>
                <w:sz w:val="24"/>
                <w:szCs w:val="32"/>
                <w:vertAlign w:val="baseline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lang w:val="en-US" w:eastAsia="zh-CN" w:bidi="ar"/>
              </w:rPr>
              <w:t>专用车道，与步行道分离</w:t>
            </w:r>
          </w:p>
        </w:tc>
      </w:tr>
      <w:tr w14:paraId="5E0937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2130" w:type="dxa"/>
            <w:vAlign w:val="center"/>
          </w:tcPr>
          <w:p w14:paraId="4FAA9D69"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rPr>
                <w:rFonts w:hint="eastAsia" w:ascii="宋体" w:hAnsi="宋体" w:eastAsia="宋体" w:cs="宋体"/>
                <w:color w:val="auto"/>
                <w:sz w:val="24"/>
                <w:szCs w:val="32"/>
                <w:vertAlign w:val="baseline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lang w:val="en-US" w:eastAsia="zh-CN" w:bidi="ar"/>
              </w:rPr>
              <w:t>内部次级交通</w:t>
            </w:r>
          </w:p>
        </w:tc>
        <w:tc>
          <w:tcPr>
            <w:tcW w:w="2130" w:type="dxa"/>
            <w:vAlign w:val="center"/>
          </w:tcPr>
          <w:p w14:paraId="7C7ABC8C"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rPr>
                <w:rFonts w:hint="eastAsia" w:ascii="宋体" w:hAnsi="宋体" w:eastAsia="宋体" w:cs="宋体"/>
                <w:color w:val="auto"/>
                <w:sz w:val="24"/>
                <w:szCs w:val="32"/>
                <w:vertAlign w:val="baseline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lang w:val="en-US" w:eastAsia="zh-CN" w:bidi="ar"/>
              </w:rPr>
              <w:t>步行</w:t>
            </w:r>
          </w:p>
        </w:tc>
        <w:tc>
          <w:tcPr>
            <w:tcW w:w="1935" w:type="dxa"/>
            <w:vAlign w:val="center"/>
          </w:tcPr>
          <w:p w14:paraId="1F711CF2"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rPr>
                <w:rFonts w:hint="eastAsia" w:ascii="宋体" w:hAnsi="宋体" w:eastAsia="宋体" w:cs="宋体"/>
                <w:color w:val="auto"/>
                <w:sz w:val="24"/>
                <w:szCs w:val="32"/>
                <w:vertAlign w:val="baseline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lang w:val="en-US" w:eastAsia="zh-CN" w:bidi="ar"/>
              </w:rPr>
              <w:t>生态走廊、庭院小径</w:t>
            </w:r>
          </w:p>
        </w:tc>
        <w:tc>
          <w:tcPr>
            <w:tcW w:w="2327" w:type="dxa"/>
            <w:vAlign w:val="center"/>
          </w:tcPr>
          <w:p w14:paraId="708C10BF"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rPr>
                <w:rFonts w:hint="eastAsia" w:ascii="宋体" w:hAnsi="宋体" w:eastAsia="宋体" w:cs="宋体"/>
                <w:color w:val="auto"/>
                <w:sz w:val="24"/>
                <w:szCs w:val="32"/>
                <w:vertAlign w:val="baseline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lang w:val="en-US" w:eastAsia="zh-CN" w:bidi="ar"/>
              </w:rPr>
              <w:t>完全步行化，无障碍设计</w:t>
            </w:r>
          </w:p>
        </w:tc>
      </w:tr>
    </w:tbl>
    <w:p w14:paraId="0F5B6BEA">
      <w:pPr>
        <w:rPr>
          <w:rFonts w:hint="eastAsia" w:ascii="宋体" w:hAnsi="宋体" w:eastAsia="宋体" w:cs="宋体"/>
          <w:sz w:val="24"/>
          <w:szCs w:val="32"/>
        </w:rPr>
      </w:pPr>
    </w:p>
    <w:p w14:paraId="446E7F02">
      <w:pPr>
        <w:rPr>
          <w:rFonts w:hint="eastAsia" w:ascii="宋体" w:hAnsi="宋体" w:eastAsia="宋体" w:cs="宋体"/>
          <w:b/>
          <w:bCs/>
          <w:sz w:val="24"/>
          <w:szCs w:val="32"/>
        </w:rPr>
      </w:pPr>
      <w:r>
        <w:rPr>
          <w:rFonts w:hint="eastAsia" w:ascii="宋体" w:hAnsi="宋体" w:eastAsia="宋体" w:cs="宋体"/>
          <w:b/>
          <w:bCs/>
          <w:sz w:val="24"/>
          <w:szCs w:val="32"/>
        </w:rPr>
        <w:t>2.2人车分流具体措施</w:t>
      </w:r>
    </w:p>
    <w:p w14:paraId="182191AC">
      <w:pPr>
        <w:rPr>
          <w:rFonts w:hint="eastAsia" w:ascii="宋体" w:hAnsi="宋体" w:eastAsia="宋体" w:cs="宋体"/>
          <w:sz w:val="24"/>
          <w:szCs w:val="32"/>
        </w:rPr>
      </w:pPr>
      <w:r>
        <w:rPr>
          <w:rFonts w:hint="eastAsia" w:ascii="宋体" w:hAnsi="宋体" w:eastAsia="宋体" w:cs="宋体"/>
          <w:sz w:val="24"/>
          <w:szCs w:val="32"/>
        </w:rPr>
        <w:t>2.2.1机动车管控</w:t>
      </w:r>
    </w:p>
    <w:p w14:paraId="4A095911">
      <w:pPr>
        <w:rPr>
          <w:rFonts w:hint="eastAsia" w:ascii="宋体" w:hAnsi="宋体" w:eastAsia="宋体" w:cs="宋体"/>
          <w:sz w:val="24"/>
          <w:szCs w:val="32"/>
        </w:rPr>
      </w:pPr>
      <w:r>
        <w:rPr>
          <w:rFonts w:hint="eastAsia" w:ascii="宋体" w:hAnsi="宋体" w:eastAsia="宋体" w:cs="宋体"/>
          <w:sz w:val="24"/>
          <w:szCs w:val="32"/>
        </w:rPr>
        <w:t>入口处设置集中停车场（含充电桩车位），机动车止步于山脚。</w:t>
      </w:r>
    </w:p>
    <w:p w14:paraId="60C39E38">
      <w:pPr>
        <w:rPr>
          <w:rFonts w:hint="eastAsia" w:ascii="宋体" w:hAnsi="宋体" w:eastAsia="宋体" w:cs="宋体"/>
          <w:sz w:val="24"/>
          <w:szCs w:val="32"/>
        </w:rPr>
      </w:pPr>
      <w:r>
        <w:rPr>
          <w:rFonts w:hint="eastAsia" w:ascii="宋体" w:hAnsi="宋体" w:eastAsia="宋体" w:cs="宋体"/>
          <w:sz w:val="24"/>
          <w:szCs w:val="32"/>
        </w:rPr>
        <w:t>停车场至各功能区设电瓶车换乘中心，提供免费接驳服务。</w:t>
      </w:r>
    </w:p>
    <w:p w14:paraId="0526E8C2">
      <w:pPr>
        <w:rPr>
          <w:rFonts w:hint="eastAsia" w:ascii="宋体" w:hAnsi="宋体" w:eastAsia="宋体" w:cs="宋体"/>
          <w:sz w:val="24"/>
          <w:szCs w:val="32"/>
        </w:rPr>
      </w:pPr>
      <w:r>
        <w:rPr>
          <w:rFonts w:hint="eastAsia" w:ascii="宋体" w:hAnsi="宋体" w:eastAsia="宋体" w:cs="宋体"/>
          <w:sz w:val="24"/>
          <w:szCs w:val="32"/>
        </w:rPr>
        <w:t>内部道路禁止私家车通行，应急车辆（消防、救护）可通过专用通道进入。</w:t>
      </w:r>
    </w:p>
    <w:p w14:paraId="6672D3FB">
      <w:pPr>
        <w:rPr>
          <w:rFonts w:hint="eastAsia" w:ascii="宋体" w:hAnsi="宋体" w:eastAsia="宋体" w:cs="宋体"/>
          <w:sz w:val="24"/>
          <w:szCs w:val="32"/>
        </w:rPr>
      </w:pPr>
      <w:r>
        <w:rPr>
          <w:rFonts w:hint="eastAsia" w:ascii="宋体" w:hAnsi="宋体" w:eastAsia="宋体" w:cs="宋体"/>
          <w:sz w:val="24"/>
          <w:szCs w:val="32"/>
        </w:rPr>
        <w:t>2.2.2步行系统</w:t>
      </w:r>
    </w:p>
    <w:p w14:paraId="55238AA3">
      <w:pPr>
        <w:rPr>
          <w:rFonts w:hint="eastAsia" w:ascii="宋体" w:hAnsi="宋体" w:eastAsia="宋体" w:cs="宋体"/>
          <w:sz w:val="24"/>
          <w:szCs w:val="32"/>
        </w:rPr>
      </w:pPr>
      <w:r>
        <w:rPr>
          <w:rFonts w:hint="eastAsia" w:ascii="宋体" w:hAnsi="宋体" w:eastAsia="宋体" w:cs="宋体"/>
          <w:sz w:val="24"/>
          <w:szCs w:val="32"/>
        </w:rPr>
        <w:t>生态走廊：作为项目主干步道，宽度1.82.5m，架空式设计，坡度控制在5%8%，兼顾无障碍通行。</w:t>
      </w:r>
    </w:p>
    <w:p w14:paraId="5C50F0EA">
      <w:pPr>
        <w:rPr>
          <w:rFonts w:hint="eastAsia" w:ascii="宋体" w:hAnsi="宋体" w:eastAsia="宋体" w:cs="宋体"/>
          <w:sz w:val="24"/>
          <w:szCs w:val="32"/>
        </w:rPr>
      </w:pPr>
      <w:r>
        <w:rPr>
          <w:rFonts w:hint="eastAsia" w:ascii="宋体" w:hAnsi="宋体" w:eastAsia="宋体" w:cs="宋体"/>
          <w:sz w:val="24"/>
          <w:szCs w:val="32"/>
        </w:rPr>
        <w:t>茶田小径：连接居住簇群与公共核心区，宽度1.21.5m，采用碎石或毛石铺装，自然融入茶园肌理。</w:t>
      </w:r>
    </w:p>
    <w:p w14:paraId="317E78C8">
      <w:pPr>
        <w:rPr>
          <w:rFonts w:hint="eastAsia" w:ascii="宋体" w:hAnsi="宋体" w:eastAsia="宋体" w:cs="宋体"/>
          <w:sz w:val="24"/>
          <w:szCs w:val="32"/>
        </w:rPr>
      </w:pPr>
      <w:r>
        <w:rPr>
          <w:rFonts w:hint="eastAsia" w:ascii="宋体" w:hAnsi="宋体" w:eastAsia="宋体" w:cs="宋体"/>
          <w:sz w:val="24"/>
          <w:szCs w:val="32"/>
        </w:rPr>
        <w:t>庭院步道：叠翠山房各簇群内部步道，宽度1.01.2m，设夜间照明。</w:t>
      </w:r>
    </w:p>
    <w:p w14:paraId="1E2E71C6">
      <w:pPr>
        <w:rPr>
          <w:rFonts w:hint="eastAsia" w:ascii="宋体" w:hAnsi="宋体" w:eastAsia="宋体" w:cs="宋体"/>
          <w:b w:val="0"/>
          <w:bCs w:val="0"/>
          <w:sz w:val="24"/>
          <w:szCs w:val="32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32"/>
        </w:rPr>
        <w:t>2.2.3自行车系统</w:t>
      </w:r>
    </w:p>
    <w:p w14:paraId="173D4825">
      <w:pPr>
        <w:rPr>
          <w:rFonts w:hint="eastAsia" w:ascii="宋体" w:hAnsi="宋体" w:eastAsia="宋体" w:cs="宋体"/>
          <w:sz w:val="24"/>
          <w:szCs w:val="32"/>
        </w:rPr>
      </w:pPr>
      <w:r>
        <w:rPr>
          <w:rFonts w:hint="eastAsia" w:ascii="宋体" w:hAnsi="宋体" w:eastAsia="宋体" w:cs="宋体"/>
          <w:sz w:val="24"/>
          <w:szCs w:val="32"/>
        </w:rPr>
        <w:t>入口停车场设自行车停放区，可停放自行车30辆。</w:t>
      </w:r>
    </w:p>
    <w:p w14:paraId="29466E0C">
      <w:pPr>
        <w:rPr>
          <w:rFonts w:hint="eastAsia" w:ascii="宋体" w:hAnsi="宋体" w:eastAsia="宋体" w:cs="宋体"/>
          <w:sz w:val="24"/>
          <w:szCs w:val="32"/>
        </w:rPr>
      </w:pPr>
      <w:r>
        <w:rPr>
          <w:rFonts w:hint="eastAsia" w:ascii="宋体" w:hAnsi="宋体" w:eastAsia="宋体" w:cs="宋体"/>
          <w:sz w:val="24"/>
          <w:szCs w:val="32"/>
        </w:rPr>
        <w:t>生态走廊兼顾自行车通行功能，宽度≥1.8m，坡度≤8%。</w:t>
      </w:r>
    </w:p>
    <w:p w14:paraId="3702ADE8">
      <w:pPr>
        <w:rPr>
          <w:rFonts w:hint="eastAsia" w:ascii="宋体" w:hAnsi="宋体" w:eastAsia="宋体" w:cs="宋体"/>
          <w:sz w:val="24"/>
          <w:szCs w:val="32"/>
        </w:rPr>
      </w:pPr>
      <w:r>
        <w:rPr>
          <w:rFonts w:hint="eastAsia" w:ascii="宋体" w:hAnsi="宋体" w:eastAsia="宋体" w:cs="宋体"/>
          <w:sz w:val="24"/>
          <w:szCs w:val="32"/>
        </w:rPr>
        <w:t>自行车停放点设于茶语工坊、云间食肆、各居住簇群入口。</w:t>
      </w:r>
    </w:p>
    <w:p w14:paraId="1FC5E04D">
      <w:pPr>
        <w:rPr>
          <w:rFonts w:hint="eastAsia" w:ascii="宋体" w:hAnsi="宋体" w:eastAsia="宋体" w:cs="宋体"/>
          <w:sz w:val="24"/>
          <w:szCs w:val="32"/>
        </w:rPr>
      </w:pPr>
      <w:r>
        <w:rPr>
          <w:rFonts w:hint="eastAsia" w:ascii="宋体" w:hAnsi="宋体" w:eastAsia="宋体" w:cs="宋体"/>
          <w:b/>
          <w:bCs/>
          <w:sz w:val="24"/>
          <w:szCs w:val="32"/>
        </w:rPr>
        <w:t>2.3无障碍设计</w:t>
      </w:r>
    </w:p>
    <w:p w14:paraId="0F8B2410">
      <w:pPr>
        <w:rPr>
          <w:rFonts w:hint="eastAsia" w:ascii="宋体" w:hAnsi="宋体" w:eastAsia="宋体" w:cs="宋体"/>
          <w:sz w:val="24"/>
          <w:szCs w:val="32"/>
        </w:rPr>
      </w:pPr>
      <w:r>
        <w:rPr>
          <w:rFonts w:hint="eastAsia" w:ascii="宋体" w:hAnsi="宋体" w:eastAsia="宋体" w:cs="宋体"/>
          <w:sz w:val="24"/>
          <w:szCs w:val="32"/>
        </w:rPr>
        <w:t>所有步道均满足无障碍通行要求：坡度≤1:12，宽度≥1.2m。</w:t>
      </w:r>
    </w:p>
    <w:p w14:paraId="11DB325E">
      <w:pPr>
        <w:rPr>
          <w:rFonts w:hint="eastAsia" w:ascii="宋体" w:hAnsi="宋体" w:eastAsia="宋体" w:cs="宋体"/>
          <w:sz w:val="24"/>
          <w:szCs w:val="32"/>
        </w:rPr>
      </w:pPr>
      <w:r>
        <w:rPr>
          <w:rFonts w:hint="eastAsia" w:ascii="宋体" w:hAnsi="宋体" w:eastAsia="宋体" w:cs="宋体"/>
          <w:sz w:val="24"/>
          <w:szCs w:val="32"/>
        </w:rPr>
        <w:t>台阶处设无障碍坡道或电梯。</w:t>
      </w:r>
    </w:p>
    <w:p w14:paraId="625F0129">
      <w:pPr>
        <w:rPr>
          <w:rFonts w:hint="eastAsia" w:ascii="宋体" w:hAnsi="宋体" w:eastAsia="宋体" w:cs="宋体"/>
          <w:sz w:val="24"/>
          <w:szCs w:val="32"/>
        </w:rPr>
      </w:pPr>
      <w:r>
        <w:rPr>
          <w:rFonts w:hint="eastAsia" w:ascii="宋体" w:hAnsi="宋体" w:eastAsia="宋体" w:cs="宋体"/>
          <w:sz w:val="24"/>
          <w:szCs w:val="32"/>
        </w:rPr>
        <w:t>主要节点设盲道提示，满足视障人士需求。</w:t>
      </w:r>
    </w:p>
    <w:p w14:paraId="6B64EB1F">
      <w:pPr>
        <w:rPr>
          <w:rFonts w:hint="eastAsia" w:ascii="宋体" w:hAnsi="宋体" w:eastAsia="宋体" w:cs="宋体"/>
          <w:b/>
          <w:bCs/>
          <w:sz w:val="28"/>
          <w:szCs w:val="36"/>
        </w:rPr>
      </w:pPr>
      <w:r>
        <w:rPr>
          <w:rFonts w:hint="eastAsia" w:ascii="宋体" w:hAnsi="宋体" w:eastAsia="宋体" w:cs="宋体"/>
          <w:b/>
          <w:bCs/>
          <w:sz w:val="28"/>
          <w:szCs w:val="36"/>
        </w:rPr>
        <w:t>第三章步行与自行车交通照明设计</w:t>
      </w:r>
    </w:p>
    <w:p w14:paraId="2BBCCAE6">
      <w:pPr>
        <w:rPr>
          <w:rFonts w:hint="eastAsia" w:ascii="宋体" w:hAnsi="宋体" w:eastAsia="宋体" w:cs="宋体"/>
          <w:sz w:val="24"/>
          <w:szCs w:val="32"/>
        </w:rPr>
      </w:pPr>
      <w:r>
        <w:rPr>
          <w:rFonts w:hint="eastAsia" w:ascii="宋体" w:hAnsi="宋体" w:eastAsia="宋体" w:cs="宋体"/>
          <w:b/>
          <w:bCs/>
          <w:sz w:val="24"/>
          <w:szCs w:val="32"/>
        </w:rPr>
        <w:t>3.1照明设计原则</w:t>
      </w:r>
    </w:p>
    <w:p w14:paraId="4E348D50">
      <w:pPr>
        <w:rPr>
          <w:rFonts w:hint="eastAsia" w:ascii="宋体" w:hAnsi="宋体" w:eastAsia="宋体" w:cs="宋体"/>
          <w:sz w:val="24"/>
          <w:szCs w:val="32"/>
        </w:rPr>
      </w:pPr>
      <w:r>
        <w:rPr>
          <w:rFonts w:hint="eastAsia" w:ascii="宋体" w:hAnsi="宋体" w:eastAsia="宋体" w:cs="宋体"/>
          <w:sz w:val="24"/>
          <w:szCs w:val="32"/>
        </w:rPr>
        <w:t>1.安全充足：满足规范照度要求，消除暗区，保障夜间通行安全。</w:t>
      </w:r>
    </w:p>
    <w:p w14:paraId="7D5DD252">
      <w:pPr>
        <w:rPr>
          <w:rFonts w:hint="eastAsia" w:ascii="宋体" w:hAnsi="宋体" w:eastAsia="宋体" w:cs="宋体"/>
          <w:sz w:val="24"/>
          <w:szCs w:val="32"/>
        </w:rPr>
      </w:pPr>
      <w:r>
        <w:rPr>
          <w:rFonts w:hint="eastAsia" w:ascii="宋体" w:hAnsi="宋体" w:eastAsia="宋体" w:cs="宋体"/>
          <w:sz w:val="24"/>
          <w:szCs w:val="32"/>
        </w:rPr>
        <w:t>2.绿色节能：采用太阳能照明或LED灯具，智能控制，降低能耗。</w:t>
      </w:r>
    </w:p>
    <w:p w14:paraId="72C894CF">
      <w:pPr>
        <w:rPr>
          <w:rFonts w:hint="eastAsia" w:ascii="宋体" w:hAnsi="宋体" w:eastAsia="宋体" w:cs="宋体"/>
          <w:sz w:val="24"/>
          <w:szCs w:val="32"/>
        </w:rPr>
      </w:pPr>
      <w:r>
        <w:rPr>
          <w:rFonts w:hint="eastAsia" w:ascii="宋体" w:hAnsi="宋体" w:eastAsia="宋体" w:cs="宋体"/>
          <w:sz w:val="24"/>
          <w:szCs w:val="32"/>
        </w:rPr>
        <w:t>3.景观协调：灯具造型与山地茶园景观融合，避免光污染。</w:t>
      </w:r>
    </w:p>
    <w:p w14:paraId="596132C2">
      <w:pPr>
        <w:rPr>
          <w:rFonts w:hint="eastAsia" w:ascii="宋体" w:hAnsi="宋体" w:eastAsia="宋体" w:cs="宋体"/>
          <w:sz w:val="24"/>
          <w:szCs w:val="32"/>
        </w:rPr>
      </w:pPr>
      <w:r>
        <w:rPr>
          <w:rFonts w:hint="eastAsia" w:ascii="宋体" w:hAnsi="宋体" w:eastAsia="宋体" w:cs="宋体"/>
          <w:sz w:val="24"/>
          <w:szCs w:val="32"/>
        </w:rPr>
        <w:t>4.分级设防：根据道路等级和使用频率，分区确定照度标准。</w:t>
      </w:r>
    </w:p>
    <w:p w14:paraId="691C75F0">
      <w:pPr>
        <w:rPr>
          <w:rFonts w:hint="eastAsia" w:ascii="宋体" w:hAnsi="宋体" w:eastAsia="宋体" w:cs="宋体"/>
          <w:b/>
          <w:bCs/>
          <w:sz w:val="24"/>
          <w:szCs w:val="32"/>
        </w:rPr>
      </w:pPr>
      <w:r>
        <w:rPr>
          <w:rFonts w:hint="eastAsia" w:ascii="宋体" w:hAnsi="宋体" w:eastAsia="宋体" w:cs="宋体"/>
          <w:b/>
          <w:bCs/>
          <w:sz w:val="24"/>
          <w:szCs w:val="32"/>
        </w:rPr>
        <w:t>3.2照度标准</w:t>
      </w:r>
    </w:p>
    <w:p w14:paraId="3DD0E2F1">
      <w:pPr>
        <w:rPr>
          <w:rFonts w:hint="eastAsia" w:ascii="宋体" w:hAnsi="宋体" w:eastAsia="宋体" w:cs="宋体"/>
          <w:sz w:val="24"/>
          <w:szCs w:val="32"/>
        </w:rPr>
      </w:pPr>
      <w:r>
        <w:rPr>
          <w:rFonts w:hint="eastAsia" w:ascii="宋体" w:hAnsi="宋体" w:eastAsia="宋体" w:cs="宋体"/>
          <w:sz w:val="24"/>
          <w:szCs w:val="32"/>
        </w:rPr>
        <w:t>依据《城市道路照明设计标准》CJJ45及《建筑环境通用规范》GB55016，各区域照度设计如下：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left w:w="108" w:type="dxa"/>
          <w:right w:w="108" w:type="dxa"/>
        </w:tblCellMar>
      </w:tblPr>
      <w:tblGrid>
        <w:gridCol w:w="1420"/>
        <w:gridCol w:w="1420"/>
        <w:gridCol w:w="1420"/>
        <w:gridCol w:w="1420"/>
        <w:gridCol w:w="1421"/>
        <w:gridCol w:w="1421"/>
      </w:tblGrid>
      <w:tr w14:paraId="38AB9D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420" w:type="dxa"/>
            <w:vAlign w:val="center"/>
          </w:tcPr>
          <w:p w14:paraId="1551E809"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rPr>
                <w:rFonts w:hint="eastAsia" w:ascii="宋体" w:hAnsi="宋体" w:eastAsia="宋体" w:cs="宋体"/>
                <w:color w:val="auto"/>
                <w:sz w:val="24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lang w:val="en-US" w:eastAsia="zh-CN" w:bidi="ar"/>
              </w:rPr>
              <w:t>区域</w:t>
            </w:r>
          </w:p>
        </w:tc>
        <w:tc>
          <w:tcPr>
            <w:tcW w:w="1420" w:type="dxa"/>
            <w:vAlign w:val="center"/>
          </w:tcPr>
          <w:p w14:paraId="2D8B0F3D"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rPr>
                <w:rFonts w:hint="eastAsia" w:ascii="宋体" w:hAnsi="宋体" w:eastAsia="宋体" w:cs="宋体"/>
                <w:color w:val="auto"/>
                <w:sz w:val="24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lang w:val="en-US" w:eastAsia="zh-CN" w:bidi="ar"/>
              </w:rPr>
              <w:t>道路等级</w:t>
            </w:r>
          </w:p>
        </w:tc>
        <w:tc>
          <w:tcPr>
            <w:tcW w:w="1420" w:type="dxa"/>
            <w:vAlign w:val="center"/>
          </w:tcPr>
          <w:p w14:paraId="776CEB7D"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rPr>
                <w:rFonts w:hint="eastAsia" w:ascii="宋体" w:hAnsi="宋体" w:eastAsia="宋体" w:cs="宋体"/>
                <w:color w:val="auto"/>
                <w:sz w:val="24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lang w:val="en-US" w:eastAsia="zh-CN" w:bidi="ar"/>
              </w:rPr>
              <w:t>平均照度(lx)</w:t>
            </w:r>
          </w:p>
        </w:tc>
        <w:tc>
          <w:tcPr>
            <w:tcW w:w="1420" w:type="dxa"/>
            <w:vAlign w:val="center"/>
          </w:tcPr>
          <w:p w14:paraId="04718D9E"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rPr>
                <w:rFonts w:hint="eastAsia" w:ascii="宋体" w:hAnsi="宋体" w:eastAsia="宋体" w:cs="宋体"/>
                <w:color w:val="auto"/>
                <w:sz w:val="24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lang w:val="en-US" w:eastAsia="zh-CN" w:bidi="ar"/>
              </w:rPr>
              <w:t>均匀度</w:t>
            </w:r>
          </w:p>
        </w:tc>
        <w:tc>
          <w:tcPr>
            <w:tcW w:w="1421" w:type="dxa"/>
            <w:vAlign w:val="center"/>
          </w:tcPr>
          <w:p w14:paraId="399DB0A5"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rPr>
                <w:rFonts w:hint="eastAsia" w:ascii="宋体" w:hAnsi="宋体" w:eastAsia="宋体" w:cs="宋体"/>
                <w:color w:val="auto"/>
                <w:sz w:val="24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lang w:val="en-US" w:eastAsia="zh-CN" w:bidi="ar"/>
              </w:rPr>
              <w:t>眩光限制</w:t>
            </w:r>
          </w:p>
        </w:tc>
        <w:tc>
          <w:tcPr>
            <w:tcW w:w="1421" w:type="dxa"/>
            <w:vAlign w:val="center"/>
          </w:tcPr>
          <w:p w14:paraId="1E913356"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rPr>
                <w:rFonts w:hint="eastAsia" w:ascii="宋体" w:hAnsi="宋体" w:eastAsia="宋体" w:cs="宋体"/>
                <w:color w:val="auto"/>
                <w:sz w:val="24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lang w:val="en-US" w:eastAsia="zh-CN" w:bidi="ar"/>
              </w:rPr>
              <w:t>备注</w:t>
            </w:r>
          </w:p>
        </w:tc>
      </w:tr>
      <w:tr w14:paraId="14B358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420" w:type="dxa"/>
            <w:vAlign w:val="center"/>
          </w:tcPr>
          <w:p w14:paraId="1814B740"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rPr>
                <w:rFonts w:hint="eastAsia" w:ascii="宋体" w:hAnsi="宋体" w:eastAsia="宋体" w:cs="宋体"/>
                <w:color w:val="auto"/>
                <w:sz w:val="24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lang w:val="en-US" w:eastAsia="zh-CN" w:bidi="ar"/>
              </w:rPr>
              <w:t>生态走廊（主干道）</w:t>
            </w:r>
          </w:p>
        </w:tc>
        <w:tc>
          <w:tcPr>
            <w:tcW w:w="1420" w:type="dxa"/>
            <w:vAlign w:val="center"/>
          </w:tcPr>
          <w:p w14:paraId="44AFB64B"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rPr>
                <w:rFonts w:hint="eastAsia" w:ascii="宋体" w:hAnsi="宋体" w:eastAsia="宋体" w:cs="宋体"/>
                <w:color w:val="auto"/>
                <w:sz w:val="24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lang w:val="en-US" w:eastAsia="zh-CN" w:bidi="ar"/>
              </w:rPr>
              <w:t>步行主路</w:t>
            </w:r>
          </w:p>
        </w:tc>
        <w:tc>
          <w:tcPr>
            <w:tcW w:w="1420" w:type="dxa"/>
            <w:vAlign w:val="center"/>
          </w:tcPr>
          <w:p w14:paraId="56076AE4"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rPr>
                <w:rFonts w:hint="eastAsia" w:ascii="宋体" w:hAnsi="宋体" w:eastAsia="宋体" w:cs="宋体"/>
                <w:color w:val="auto"/>
                <w:sz w:val="24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lang w:val="en-US" w:eastAsia="zh-CN" w:bidi="ar"/>
              </w:rPr>
              <w:t>≥15</w:t>
            </w:r>
          </w:p>
        </w:tc>
        <w:tc>
          <w:tcPr>
            <w:tcW w:w="1420" w:type="dxa"/>
            <w:vAlign w:val="center"/>
          </w:tcPr>
          <w:p w14:paraId="4BBB7D6E"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rPr>
                <w:rFonts w:hint="eastAsia" w:ascii="宋体" w:hAnsi="宋体" w:eastAsia="宋体" w:cs="宋体"/>
                <w:color w:val="auto"/>
                <w:sz w:val="24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lang w:val="en-US" w:eastAsia="zh-CN" w:bidi="ar"/>
              </w:rPr>
              <w:t>≥0.35</w:t>
            </w:r>
          </w:p>
        </w:tc>
        <w:tc>
          <w:tcPr>
            <w:tcW w:w="1421" w:type="dxa"/>
            <w:vAlign w:val="center"/>
          </w:tcPr>
          <w:p w14:paraId="0FEDCF42"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rPr>
                <w:rFonts w:hint="eastAsia" w:ascii="宋体" w:hAnsi="宋体" w:eastAsia="宋体" w:cs="宋体"/>
                <w:color w:val="auto"/>
                <w:sz w:val="24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lang w:val="en-US" w:eastAsia="zh-CN" w:bidi="ar"/>
              </w:rPr>
              <w:t>无不适眩光</w:t>
            </w:r>
          </w:p>
        </w:tc>
        <w:tc>
          <w:tcPr>
            <w:tcW w:w="1421" w:type="dxa"/>
            <w:vAlign w:val="center"/>
          </w:tcPr>
          <w:p w14:paraId="4F5C8111"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rPr>
                <w:rFonts w:hint="eastAsia" w:ascii="宋体" w:hAnsi="宋体" w:eastAsia="宋体" w:cs="宋体"/>
                <w:color w:val="auto"/>
                <w:sz w:val="24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lang w:val="en-US" w:eastAsia="zh-CN" w:bidi="ar"/>
              </w:rPr>
              <w:t>夜间照明</w:t>
            </w:r>
          </w:p>
        </w:tc>
      </w:tr>
      <w:tr w14:paraId="345D92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420" w:type="dxa"/>
            <w:vAlign w:val="center"/>
          </w:tcPr>
          <w:p w14:paraId="15708495"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rPr>
                <w:rFonts w:hint="eastAsia" w:ascii="宋体" w:hAnsi="宋体" w:eastAsia="宋体" w:cs="宋体"/>
                <w:color w:val="auto"/>
                <w:sz w:val="24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lang w:val="en-US" w:eastAsia="zh-CN" w:bidi="ar"/>
              </w:rPr>
              <w:t>茶田小径</w:t>
            </w:r>
          </w:p>
        </w:tc>
        <w:tc>
          <w:tcPr>
            <w:tcW w:w="1420" w:type="dxa"/>
            <w:vAlign w:val="center"/>
          </w:tcPr>
          <w:p w14:paraId="11A1819D"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rPr>
                <w:rFonts w:hint="eastAsia" w:ascii="宋体" w:hAnsi="宋体" w:eastAsia="宋体" w:cs="宋体"/>
                <w:color w:val="auto"/>
                <w:sz w:val="24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lang w:val="en-US" w:eastAsia="zh-CN" w:bidi="ar"/>
              </w:rPr>
              <w:t>步行次路</w:t>
            </w:r>
          </w:p>
        </w:tc>
        <w:tc>
          <w:tcPr>
            <w:tcW w:w="1420" w:type="dxa"/>
            <w:vAlign w:val="center"/>
          </w:tcPr>
          <w:p w14:paraId="58ECA385"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rPr>
                <w:rFonts w:hint="eastAsia" w:ascii="宋体" w:hAnsi="宋体" w:eastAsia="宋体" w:cs="宋体"/>
                <w:color w:val="auto"/>
                <w:sz w:val="24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lang w:val="en-US" w:eastAsia="zh-CN" w:bidi="ar"/>
              </w:rPr>
              <w:t>≥10</w:t>
            </w:r>
          </w:p>
        </w:tc>
        <w:tc>
          <w:tcPr>
            <w:tcW w:w="1420" w:type="dxa"/>
            <w:vAlign w:val="center"/>
          </w:tcPr>
          <w:p w14:paraId="5B163F01"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rPr>
                <w:rFonts w:hint="eastAsia" w:ascii="宋体" w:hAnsi="宋体" w:eastAsia="宋体" w:cs="宋体"/>
                <w:color w:val="auto"/>
                <w:sz w:val="24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lang w:val="en-US" w:eastAsia="zh-CN" w:bidi="ar"/>
              </w:rPr>
              <w:t>≥0.30</w:t>
            </w:r>
          </w:p>
        </w:tc>
        <w:tc>
          <w:tcPr>
            <w:tcW w:w="1421" w:type="dxa"/>
            <w:vAlign w:val="center"/>
          </w:tcPr>
          <w:p w14:paraId="4FF4B92A"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rPr>
                <w:rFonts w:hint="eastAsia" w:ascii="宋体" w:hAnsi="宋体" w:eastAsia="宋体" w:cs="宋体"/>
                <w:color w:val="auto"/>
                <w:sz w:val="24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lang w:val="en-US" w:eastAsia="zh-CN" w:bidi="ar"/>
              </w:rPr>
              <w:t>无不适眩光</w:t>
            </w:r>
          </w:p>
        </w:tc>
        <w:tc>
          <w:tcPr>
            <w:tcW w:w="1421" w:type="dxa"/>
            <w:vAlign w:val="center"/>
          </w:tcPr>
          <w:p w14:paraId="5BD2E041">
            <w:pPr>
              <w:rPr>
                <w:rFonts w:hint="eastAsia" w:ascii="宋体" w:hAnsi="宋体" w:eastAsia="宋体" w:cs="宋体"/>
                <w:color w:val="auto"/>
                <w:sz w:val="24"/>
                <w:szCs w:val="32"/>
                <w:vertAlign w:val="baseline"/>
              </w:rPr>
            </w:pPr>
          </w:p>
        </w:tc>
      </w:tr>
      <w:tr w14:paraId="146985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420" w:type="dxa"/>
            <w:vAlign w:val="center"/>
          </w:tcPr>
          <w:p w14:paraId="1F003B14"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rPr>
                <w:rFonts w:hint="eastAsia" w:ascii="宋体" w:hAnsi="宋体" w:eastAsia="宋体" w:cs="宋体"/>
                <w:color w:val="auto"/>
                <w:sz w:val="24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lang w:val="en-US" w:eastAsia="zh-CN" w:bidi="ar"/>
              </w:rPr>
              <w:t>庭院步道</w:t>
            </w:r>
          </w:p>
        </w:tc>
        <w:tc>
          <w:tcPr>
            <w:tcW w:w="1420" w:type="dxa"/>
            <w:vAlign w:val="center"/>
          </w:tcPr>
          <w:p w14:paraId="5C2EB361"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rPr>
                <w:rFonts w:hint="eastAsia" w:ascii="宋体" w:hAnsi="宋体" w:eastAsia="宋体" w:cs="宋体"/>
                <w:color w:val="auto"/>
                <w:sz w:val="24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lang w:val="en-US" w:eastAsia="zh-CN" w:bidi="ar"/>
              </w:rPr>
              <w:t>宅间路</w:t>
            </w:r>
          </w:p>
        </w:tc>
        <w:tc>
          <w:tcPr>
            <w:tcW w:w="1420" w:type="dxa"/>
            <w:vAlign w:val="center"/>
          </w:tcPr>
          <w:p w14:paraId="41CA6C2F"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rPr>
                <w:rFonts w:hint="eastAsia" w:ascii="宋体" w:hAnsi="宋体" w:eastAsia="宋体" w:cs="宋体"/>
                <w:color w:val="auto"/>
                <w:sz w:val="24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lang w:val="en-US" w:eastAsia="zh-CN" w:bidi="ar"/>
              </w:rPr>
              <w:t>≥8</w:t>
            </w:r>
          </w:p>
        </w:tc>
        <w:tc>
          <w:tcPr>
            <w:tcW w:w="1420" w:type="dxa"/>
            <w:vAlign w:val="center"/>
          </w:tcPr>
          <w:p w14:paraId="65241BD6"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rPr>
                <w:rFonts w:hint="eastAsia" w:ascii="宋体" w:hAnsi="宋体" w:eastAsia="宋体" w:cs="宋体"/>
                <w:color w:val="auto"/>
                <w:sz w:val="24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lang w:val="en-US" w:eastAsia="zh-CN" w:bidi="ar"/>
              </w:rPr>
              <w:t>≥0.25</w:t>
            </w:r>
          </w:p>
        </w:tc>
        <w:tc>
          <w:tcPr>
            <w:tcW w:w="1421" w:type="dxa"/>
            <w:vAlign w:val="center"/>
          </w:tcPr>
          <w:p w14:paraId="5FF2ABA6"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rPr>
                <w:rFonts w:hint="eastAsia" w:ascii="宋体" w:hAnsi="宋体" w:eastAsia="宋体" w:cs="宋体"/>
                <w:color w:val="auto"/>
                <w:sz w:val="24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lang w:val="en-US" w:eastAsia="zh-CN" w:bidi="ar"/>
              </w:rPr>
              <w:t>无不适眩光</w:t>
            </w:r>
          </w:p>
        </w:tc>
        <w:tc>
          <w:tcPr>
            <w:tcW w:w="1421" w:type="dxa"/>
            <w:vAlign w:val="center"/>
          </w:tcPr>
          <w:p w14:paraId="02AF06B1">
            <w:pPr>
              <w:rPr>
                <w:rFonts w:hint="eastAsia" w:ascii="宋体" w:hAnsi="宋体" w:eastAsia="宋体" w:cs="宋体"/>
                <w:color w:val="auto"/>
                <w:sz w:val="24"/>
                <w:szCs w:val="32"/>
                <w:vertAlign w:val="baseline"/>
              </w:rPr>
            </w:pPr>
          </w:p>
        </w:tc>
      </w:tr>
      <w:tr w14:paraId="5C5CF3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420" w:type="dxa"/>
            <w:vAlign w:val="center"/>
          </w:tcPr>
          <w:p w14:paraId="1CA2C193"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rPr>
                <w:rFonts w:hint="eastAsia" w:ascii="宋体" w:hAnsi="宋体" w:eastAsia="宋体" w:cs="宋体"/>
                <w:color w:val="auto"/>
                <w:sz w:val="24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lang w:val="en-US" w:eastAsia="zh-CN" w:bidi="ar"/>
              </w:rPr>
              <w:t>自行车道（生态走廊段）</w:t>
            </w:r>
          </w:p>
        </w:tc>
        <w:tc>
          <w:tcPr>
            <w:tcW w:w="1420" w:type="dxa"/>
            <w:vAlign w:val="center"/>
          </w:tcPr>
          <w:p w14:paraId="4A0F8354"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rPr>
                <w:rFonts w:hint="eastAsia" w:ascii="宋体" w:hAnsi="宋体" w:eastAsia="宋体" w:cs="宋体"/>
                <w:color w:val="auto"/>
                <w:sz w:val="24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lang w:val="en-US" w:eastAsia="zh-CN" w:bidi="ar"/>
              </w:rPr>
              <w:t>非机动车道</w:t>
            </w:r>
          </w:p>
        </w:tc>
        <w:tc>
          <w:tcPr>
            <w:tcW w:w="1420" w:type="dxa"/>
            <w:vAlign w:val="center"/>
          </w:tcPr>
          <w:p w14:paraId="77F24741"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rPr>
                <w:rFonts w:hint="eastAsia" w:ascii="宋体" w:hAnsi="宋体" w:eastAsia="宋体" w:cs="宋体"/>
                <w:color w:val="auto"/>
                <w:sz w:val="24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lang w:val="en-US" w:eastAsia="zh-CN" w:bidi="ar"/>
              </w:rPr>
              <w:t>≥10</w:t>
            </w:r>
          </w:p>
        </w:tc>
        <w:tc>
          <w:tcPr>
            <w:tcW w:w="1420" w:type="dxa"/>
            <w:vAlign w:val="center"/>
          </w:tcPr>
          <w:p w14:paraId="0E6860ED"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rPr>
                <w:rFonts w:hint="eastAsia" w:ascii="宋体" w:hAnsi="宋体" w:eastAsia="宋体" w:cs="宋体"/>
                <w:color w:val="auto"/>
                <w:sz w:val="24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lang w:val="en-US" w:eastAsia="zh-CN" w:bidi="ar"/>
              </w:rPr>
              <w:t>≥0.30</w:t>
            </w:r>
          </w:p>
        </w:tc>
        <w:tc>
          <w:tcPr>
            <w:tcW w:w="1421" w:type="dxa"/>
            <w:vAlign w:val="center"/>
          </w:tcPr>
          <w:p w14:paraId="6F7E8581"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rPr>
                <w:rFonts w:hint="eastAsia" w:ascii="宋体" w:hAnsi="宋体" w:eastAsia="宋体" w:cs="宋体"/>
                <w:color w:val="auto"/>
                <w:sz w:val="24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lang w:val="en-US" w:eastAsia="zh-CN" w:bidi="ar"/>
              </w:rPr>
              <w:t>无不适眩光</w:t>
            </w:r>
          </w:p>
        </w:tc>
        <w:tc>
          <w:tcPr>
            <w:tcW w:w="1421" w:type="dxa"/>
            <w:vAlign w:val="center"/>
          </w:tcPr>
          <w:p w14:paraId="59B4853B">
            <w:pPr>
              <w:rPr>
                <w:rFonts w:hint="eastAsia" w:ascii="宋体" w:hAnsi="宋体" w:eastAsia="宋体" w:cs="宋体"/>
                <w:color w:val="auto"/>
                <w:sz w:val="24"/>
                <w:szCs w:val="32"/>
                <w:vertAlign w:val="baseline"/>
              </w:rPr>
            </w:pPr>
          </w:p>
        </w:tc>
      </w:tr>
      <w:tr w14:paraId="468C92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420" w:type="dxa"/>
            <w:vAlign w:val="center"/>
          </w:tcPr>
          <w:p w14:paraId="235D0C1E"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rPr>
                <w:rFonts w:hint="eastAsia" w:ascii="宋体" w:hAnsi="宋体" w:eastAsia="宋体" w:cs="宋体"/>
                <w:color w:val="auto"/>
                <w:sz w:val="24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lang w:val="en-US" w:eastAsia="zh-CN" w:bidi="ar"/>
              </w:rPr>
              <w:t>出入口、交叉口</w:t>
            </w:r>
          </w:p>
        </w:tc>
        <w:tc>
          <w:tcPr>
            <w:tcW w:w="1420" w:type="dxa"/>
            <w:vAlign w:val="center"/>
          </w:tcPr>
          <w:p w14:paraId="348C3538"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rPr>
                <w:rFonts w:hint="eastAsia" w:ascii="宋体" w:hAnsi="宋体" w:eastAsia="宋体" w:cs="宋体"/>
                <w:color w:val="auto"/>
                <w:sz w:val="24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lang w:val="en-US" w:eastAsia="zh-CN" w:bidi="ar"/>
              </w:rPr>
              <w:t>关键节点</w:t>
            </w:r>
          </w:p>
        </w:tc>
        <w:tc>
          <w:tcPr>
            <w:tcW w:w="1420" w:type="dxa"/>
            <w:vAlign w:val="center"/>
          </w:tcPr>
          <w:p w14:paraId="755C5C3C"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rPr>
                <w:rFonts w:hint="eastAsia" w:ascii="宋体" w:hAnsi="宋体" w:eastAsia="宋体" w:cs="宋体"/>
                <w:color w:val="auto"/>
                <w:sz w:val="24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lang w:val="en-US" w:eastAsia="zh-CN" w:bidi="ar"/>
              </w:rPr>
              <w:t>≥20</w:t>
            </w:r>
          </w:p>
        </w:tc>
        <w:tc>
          <w:tcPr>
            <w:tcW w:w="1420" w:type="dxa"/>
            <w:vAlign w:val="center"/>
          </w:tcPr>
          <w:p w14:paraId="53A5521B"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rPr>
                <w:rFonts w:hint="eastAsia" w:ascii="宋体" w:hAnsi="宋体" w:eastAsia="宋体" w:cs="宋体"/>
                <w:color w:val="auto"/>
                <w:sz w:val="24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lang w:val="en-US" w:eastAsia="zh-CN" w:bidi="ar"/>
              </w:rPr>
              <w:t>—</w:t>
            </w:r>
          </w:p>
        </w:tc>
        <w:tc>
          <w:tcPr>
            <w:tcW w:w="1421" w:type="dxa"/>
            <w:vAlign w:val="center"/>
          </w:tcPr>
          <w:p w14:paraId="47023FDC"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rPr>
                <w:rFonts w:hint="eastAsia" w:ascii="宋体" w:hAnsi="宋体" w:eastAsia="宋体" w:cs="宋体"/>
                <w:color w:val="auto"/>
                <w:sz w:val="24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lang w:val="en-US" w:eastAsia="zh-CN" w:bidi="ar"/>
              </w:rPr>
              <w:t>无不适眩光</w:t>
            </w:r>
          </w:p>
        </w:tc>
        <w:tc>
          <w:tcPr>
            <w:tcW w:w="1421" w:type="dxa"/>
            <w:vAlign w:val="center"/>
          </w:tcPr>
          <w:p w14:paraId="618FFF21"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rPr>
                <w:rFonts w:hint="eastAsia" w:ascii="宋体" w:hAnsi="宋体" w:eastAsia="宋体" w:cs="宋体"/>
                <w:color w:val="auto"/>
                <w:sz w:val="24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lang w:val="en-US" w:eastAsia="zh-CN" w:bidi="ar"/>
              </w:rPr>
              <w:t>提高照度</w:t>
            </w:r>
          </w:p>
        </w:tc>
      </w:tr>
      <w:tr w14:paraId="54309F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420" w:type="dxa"/>
            <w:vAlign w:val="center"/>
          </w:tcPr>
          <w:p w14:paraId="1BD445CA"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rPr>
                <w:rFonts w:hint="eastAsia" w:ascii="宋体" w:hAnsi="宋体" w:eastAsia="宋体" w:cs="宋体"/>
                <w:color w:val="auto"/>
                <w:sz w:val="24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lang w:val="en-US" w:eastAsia="zh-CN" w:bidi="ar"/>
              </w:rPr>
              <w:t>台阶、坡道</w:t>
            </w:r>
          </w:p>
        </w:tc>
        <w:tc>
          <w:tcPr>
            <w:tcW w:w="1420" w:type="dxa"/>
            <w:vAlign w:val="center"/>
          </w:tcPr>
          <w:p w14:paraId="2D853810"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rPr>
                <w:rFonts w:hint="eastAsia" w:ascii="宋体" w:hAnsi="宋体" w:eastAsia="宋体" w:cs="宋体"/>
                <w:color w:val="auto"/>
                <w:sz w:val="24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lang w:val="en-US" w:eastAsia="zh-CN" w:bidi="ar"/>
              </w:rPr>
              <w:t>重点部位</w:t>
            </w:r>
          </w:p>
        </w:tc>
        <w:tc>
          <w:tcPr>
            <w:tcW w:w="1420" w:type="dxa"/>
            <w:vAlign w:val="center"/>
          </w:tcPr>
          <w:p w14:paraId="17F37D56"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rPr>
                <w:rFonts w:hint="eastAsia" w:ascii="宋体" w:hAnsi="宋体" w:eastAsia="宋体" w:cs="宋体"/>
                <w:color w:val="auto"/>
                <w:sz w:val="24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lang w:val="en-US" w:eastAsia="zh-CN" w:bidi="ar"/>
              </w:rPr>
              <w:t>≥30</w:t>
            </w:r>
          </w:p>
        </w:tc>
        <w:tc>
          <w:tcPr>
            <w:tcW w:w="1420" w:type="dxa"/>
            <w:vAlign w:val="center"/>
          </w:tcPr>
          <w:p w14:paraId="6E21FB88"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rPr>
                <w:rFonts w:hint="eastAsia" w:ascii="宋体" w:hAnsi="宋体" w:eastAsia="宋体" w:cs="宋体"/>
                <w:color w:val="auto"/>
                <w:sz w:val="24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lang w:val="en-US" w:eastAsia="zh-CN" w:bidi="ar"/>
              </w:rPr>
              <w:t>—</w:t>
            </w:r>
          </w:p>
        </w:tc>
        <w:tc>
          <w:tcPr>
            <w:tcW w:w="1421" w:type="dxa"/>
            <w:vAlign w:val="center"/>
          </w:tcPr>
          <w:p w14:paraId="259399F6"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rPr>
                <w:rFonts w:hint="eastAsia" w:ascii="宋体" w:hAnsi="宋体" w:eastAsia="宋体" w:cs="宋体"/>
                <w:color w:val="auto"/>
                <w:sz w:val="24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lang w:val="en-US" w:eastAsia="zh-CN" w:bidi="ar"/>
              </w:rPr>
              <w:t>无不适眩光</w:t>
            </w:r>
          </w:p>
        </w:tc>
        <w:tc>
          <w:tcPr>
            <w:tcW w:w="1421" w:type="dxa"/>
            <w:vAlign w:val="center"/>
          </w:tcPr>
          <w:p w14:paraId="23DB953C"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rPr>
                <w:rFonts w:hint="eastAsia" w:ascii="宋体" w:hAnsi="宋体" w:eastAsia="宋体" w:cs="宋体"/>
                <w:color w:val="auto"/>
                <w:sz w:val="24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lang w:val="en-US" w:eastAsia="zh-CN" w:bidi="ar"/>
              </w:rPr>
              <w:t>局部加强</w:t>
            </w:r>
          </w:p>
        </w:tc>
      </w:tr>
    </w:tbl>
    <w:p w14:paraId="49C82772">
      <w:pPr>
        <w:rPr>
          <w:rFonts w:hint="eastAsia" w:ascii="宋体" w:hAnsi="宋体" w:eastAsia="宋体" w:cs="宋体"/>
          <w:sz w:val="24"/>
          <w:szCs w:val="32"/>
        </w:rPr>
      </w:pPr>
    </w:p>
    <w:p w14:paraId="3DFF56C2">
      <w:pPr>
        <w:rPr>
          <w:rFonts w:hint="eastAsia" w:ascii="宋体" w:hAnsi="宋体" w:eastAsia="宋体" w:cs="宋体"/>
          <w:b/>
          <w:bCs/>
          <w:sz w:val="24"/>
          <w:szCs w:val="32"/>
        </w:rPr>
      </w:pPr>
      <w:r>
        <w:rPr>
          <w:rFonts w:hint="eastAsia" w:ascii="宋体" w:hAnsi="宋体" w:eastAsia="宋体" w:cs="宋体"/>
          <w:b/>
          <w:bCs/>
          <w:sz w:val="24"/>
          <w:szCs w:val="32"/>
        </w:rPr>
        <w:t>3.3照明设施选型与布置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left w:w="108" w:type="dxa"/>
          <w:right w:w="108" w:type="dxa"/>
        </w:tblCellMar>
      </w:tblPr>
      <w:tblGrid>
        <w:gridCol w:w="1217"/>
        <w:gridCol w:w="1217"/>
        <w:gridCol w:w="1217"/>
        <w:gridCol w:w="1217"/>
        <w:gridCol w:w="1218"/>
        <w:gridCol w:w="1218"/>
        <w:gridCol w:w="1218"/>
      </w:tblGrid>
      <w:tr w14:paraId="10470C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217" w:type="dxa"/>
            <w:vAlign w:val="center"/>
          </w:tcPr>
          <w:p w14:paraId="72BCF4BA"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lang w:val="en-US" w:eastAsia="zh-CN" w:bidi="ar"/>
              </w:rPr>
              <w:t>区域</w:t>
            </w:r>
          </w:p>
        </w:tc>
        <w:tc>
          <w:tcPr>
            <w:tcW w:w="1217" w:type="dxa"/>
            <w:vAlign w:val="center"/>
          </w:tcPr>
          <w:p w14:paraId="1BA9DA17"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lang w:val="en-US" w:eastAsia="zh-CN" w:bidi="ar"/>
              </w:rPr>
              <w:t>灯具类型</w:t>
            </w:r>
          </w:p>
        </w:tc>
        <w:tc>
          <w:tcPr>
            <w:tcW w:w="1217" w:type="dxa"/>
            <w:vAlign w:val="center"/>
          </w:tcPr>
          <w:p w14:paraId="732C04EF"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lang w:val="en-US" w:eastAsia="zh-CN" w:bidi="ar"/>
              </w:rPr>
              <w:t>灯杆高度(m)</w:t>
            </w:r>
          </w:p>
        </w:tc>
        <w:tc>
          <w:tcPr>
            <w:tcW w:w="1217" w:type="dxa"/>
            <w:vAlign w:val="center"/>
          </w:tcPr>
          <w:p w14:paraId="2F3D835A"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lang w:val="en-US" w:eastAsia="zh-CN" w:bidi="ar"/>
              </w:rPr>
              <w:t>布置间距(m)</w:t>
            </w:r>
          </w:p>
        </w:tc>
        <w:tc>
          <w:tcPr>
            <w:tcW w:w="1218" w:type="dxa"/>
            <w:vAlign w:val="center"/>
          </w:tcPr>
          <w:p w14:paraId="3ED701E5"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lang w:val="en-US" w:eastAsia="zh-CN" w:bidi="ar"/>
              </w:rPr>
              <w:t>光源功率(W)</w:t>
            </w:r>
          </w:p>
        </w:tc>
        <w:tc>
          <w:tcPr>
            <w:tcW w:w="1218" w:type="dxa"/>
            <w:vAlign w:val="center"/>
          </w:tcPr>
          <w:p w14:paraId="047E98A6"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lang w:val="en-US" w:eastAsia="zh-CN" w:bidi="ar"/>
              </w:rPr>
              <w:t>控制方式</w:t>
            </w:r>
          </w:p>
        </w:tc>
        <w:tc>
          <w:tcPr>
            <w:tcW w:w="1218" w:type="dxa"/>
            <w:vAlign w:val="center"/>
          </w:tcPr>
          <w:p w14:paraId="6E3CB3C9"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lang w:val="en-US" w:eastAsia="zh-CN" w:bidi="ar"/>
              </w:rPr>
              <w:t>区域</w:t>
            </w:r>
          </w:p>
        </w:tc>
      </w:tr>
      <w:tr w14:paraId="538906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217" w:type="dxa"/>
            <w:vAlign w:val="center"/>
          </w:tcPr>
          <w:p w14:paraId="7B5A4494"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lang w:val="en-US" w:eastAsia="zh-CN" w:bidi="ar"/>
              </w:rPr>
              <w:t>生态走廊</w:t>
            </w:r>
          </w:p>
        </w:tc>
        <w:tc>
          <w:tcPr>
            <w:tcW w:w="1217" w:type="dxa"/>
            <w:vAlign w:val="center"/>
          </w:tcPr>
          <w:p w14:paraId="1EAE194C"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lang w:val="en-US" w:eastAsia="zh-CN" w:bidi="ar"/>
              </w:rPr>
              <w:t>太阳能庭院灯</w:t>
            </w:r>
          </w:p>
        </w:tc>
        <w:tc>
          <w:tcPr>
            <w:tcW w:w="1217" w:type="dxa"/>
            <w:vAlign w:val="center"/>
          </w:tcPr>
          <w:p w14:paraId="5CC598FF"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lang w:val="en-US" w:eastAsia="zh-CN" w:bidi="ar"/>
              </w:rPr>
              <w:t>3.0-4.0</w:t>
            </w:r>
          </w:p>
        </w:tc>
        <w:tc>
          <w:tcPr>
            <w:tcW w:w="1217" w:type="dxa"/>
            <w:vAlign w:val="center"/>
          </w:tcPr>
          <w:p w14:paraId="19151844"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lang w:val="en-US" w:eastAsia="zh-CN" w:bidi="ar"/>
              </w:rPr>
              <w:t>15-20</w:t>
            </w:r>
          </w:p>
        </w:tc>
        <w:tc>
          <w:tcPr>
            <w:tcW w:w="1218" w:type="dxa"/>
            <w:vAlign w:val="center"/>
          </w:tcPr>
          <w:p w14:paraId="5E185843"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lang w:val="en-US" w:eastAsia="zh-CN" w:bidi="ar"/>
              </w:rPr>
              <w:t>30-50 LED</w:t>
            </w:r>
          </w:p>
        </w:tc>
        <w:tc>
          <w:tcPr>
            <w:tcW w:w="1218" w:type="dxa"/>
            <w:vAlign w:val="center"/>
          </w:tcPr>
          <w:p w14:paraId="27E1427D"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lang w:val="en-US" w:eastAsia="zh-CN" w:bidi="ar"/>
              </w:rPr>
              <w:t>光控+时控</w:t>
            </w:r>
          </w:p>
        </w:tc>
        <w:tc>
          <w:tcPr>
            <w:tcW w:w="1218" w:type="dxa"/>
            <w:vAlign w:val="center"/>
          </w:tcPr>
          <w:p w14:paraId="31859A5D"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lang w:val="en-US" w:eastAsia="zh-CN" w:bidi="ar"/>
              </w:rPr>
              <w:t>生态走廊</w:t>
            </w:r>
          </w:p>
        </w:tc>
      </w:tr>
      <w:tr w14:paraId="157B1A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217" w:type="dxa"/>
            <w:vAlign w:val="center"/>
          </w:tcPr>
          <w:p w14:paraId="08F4FD85"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lang w:val="en-US" w:eastAsia="zh-CN" w:bidi="ar"/>
              </w:rPr>
              <w:t>茶田小径</w:t>
            </w:r>
          </w:p>
        </w:tc>
        <w:tc>
          <w:tcPr>
            <w:tcW w:w="1217" w:type="dxa"/>
            <w:vAlign w:val="center"/>
          </w:tcPr>
          <w:p w14:paraId="51C1ABA7"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lang w:val="en-US" w:eastAsia="zh-CN" w:bidi="ar"/>
              </w:rPr>
              <w:t>太阳能草坪灯</w:t>
            </w:r>
          </w:p>
        </w:tc>
        <w:tc>
          <w:tcPr>
            <w:tcW w:w="1217" w:type="dxa"/>
            <w:vAlign w:val="center"/>
          </w:tcPr>
          <w:p w14:paraId="3449693D"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lang w:val="en-US" w:eastAsia="zh-CN" w:bidi="ar"/>
              </w:rPr>
              <w:t>0.8-1.2</w:t>
            </w:r>
          </w:p>
        </w:tc>
        <w:tc>
          <w:tcPr>
            <w:tcW w:w="1217" w:type="dxa"/>
            <w:vAlign w:val="center"/>
          </w:tcPr>
          <w:p w14:paraId="03978CE3"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lang w:val="en-US" w:eastAsia="zh-CN" w:bidi="ar"/>
              </w:rPr>
              <w:t>8-12</w:t>
            </w:r>
          </w:p>
        </w:tc>
        <w:tc>
          <w:tcPr>
            <w:tcW w:w="1218" w:type="dxa"/>
            <w:vAlign w:val="center"/>
          </w:tcPr>
          <w:p w14:paraId="13262A95"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lang w:val="en-US" w:eastAsia="zh-CN" w:bidi="ar"/>
              </w:rPr>
              <w:t>10-20 LED</w:t>
            </w:r>
          </w:p>
        </w:tc>
        <w:tc>
          <w:tcPr>
            <w:tcW w:w="1218" w:type="dxa"/>
            <w:vAlign w:val="center"/>
          </w:tcPr>
          <w:p w14:paraId="56F5509F"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lang w:val="en-US" w:eastAsia="zh-CN" w:bidi="ar"/>
              </w:rPr>
              <w:t>光控</w:t>
            </w:r>
          </w:p>
        </w:tc>
        <w:tc>
          <w:tcPr>
            <w:tcW w:w="1218" w:type="dxa"/>
            <w:vAlign w:val="center"/>
          </w:tcPr>
          <w:p w14:paraId="1FEBD312"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lang w:val="en-US" w:eastAsia="zh-CN" w:bidi="ar"/>
              </w:rPr>
              <w:t>茶田小径</w:t>
            </w:r>
          </w:p>
        </w:tc>
      </w:tr>
      <w:tr w14:paraId="131469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217" w:type="dxa"/>
            <w:vAlign w:val="center"/>
          </w:tcPr>
          <w:p w14:paraId="2DB54154"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lang w:val="en-US" w:eastAsia="zh-CN" w:bidi="ar"/>
              </w:rPr>
              <w:t>庭院步道</w:t>
            </w:r>
          </w:p>
        </w:tc>
        <w:tc>
          <w:tcPr>
            <w:tcW w:w="1217" w:type="dxa"/>
            <w:vAlign w:val="center"/>
          </w:tcPr>
          <w:p w14:paraId="01103815"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lang w:val="en-US" w:eastAsia="zh-CN" w:bidi="ar"/>
              </w:rPr>
              <w:t>壁灯/柱灯</w:t>
            </w:r>
          </w:p>
        </w:tc>
        <w:tc>
          <w:tcPr>
            <w:tcW w:w="1217" w:type="dxa"/>
            <w:vAlign w:val="center"/>
          </w:tcPr>
          <w:p w14:paraId="121C6C72"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lang w:val="en-US" w:eastAsia="zh-CN" w:bidi="ar"/>
              </w:rPr>
              <w:t>0.6-1.0</w:t>
            </w:r>
          </w:p>
        </w:tc>
        <w:tc>
          <w:tcPr>
            <w:tcW w:w="1217" w:type="dxa"/>
            <w:vAlign w:val="center"/>
          </w:tcPr>
          <w:p w14:paraId="2C47BA4E"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lang w:val="en-US" w:eastAsia="zh-CN" w:bidi="ar"/>
              </w:rPr>
              <w:t>6-10</w:t>
            </w:r>
          </w:p>
        </w:tc>
        <w:tc>
          <w:tcPr>
            <w:tcW w:w="1218" w:type="dxa"/>
            <w:vAlign w:val="center"/>
          </w:tcPr>
          <w:p w14:paraId="21B4ABBD"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lang w:val="en-US" w:eastAsia="zh-CN" w:bidi="ar"/>
              </w:rPr>
              <w:t>10-15 LED</w:t>
            </w:r>
          </w:p>
        </w:tc>
        <w:tc>
          <w:tcPr>
            <w:tcW w:w="1218" w:type="dxa"/>
            <w:vAlign w:val="center"/>
          </w:tcPr>
          <w:p w14:paraId="3D282D40"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lang w:val="en-US" w:eastAsia="zh-CN" w:bidi="ar"/>
              </w:rPr>
              <w:t>红外感应</w:t>
            </w:r>
          </w:p>
        </w:tc>
        <w:tc>
          <w:tcPr>
            <w:tcW w:w="1218" w:type="dxa"/>
            <w:vAlign w:val="center"/>
          </w:tcPr>
          <w:p w14:paraId="3EF540CD"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lang w:val="en-US" w:eastAsia="zh-CN" w:bidi="ar"/>
              </w:rPr>
              <w:t>庭院步道</w:t>
            </w:r>
          </w:p>
        </w:tc>
      </w:tr>
      <w:tr w14:paraId="1A8298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217" w:type="dxa"/>
            <w:vAlign w:val="center"/>
          </w:tcPr>
          <w:p w14:paraId="07B07B7E"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lang w:val="en-US" w:eastAsia="zh-CN" w:bidi="ar"/>
              </w:rPr>
              <w:t>自行车道</w:t>
            </w:r>
          </w:p>
        </w:tc>
        <w:tc>
          <w:tcPr>
            <w:tcW w:w="1217" w:type="dxa"/>
            <w:vAlign w:val="center"/>
          </w:tcPr>
          <w:p w14:paraId="7DEDB8FA"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lang w:val="en-US" w:eastAsia="zh-CN" w:bidi="ar"/>
              </w:rPr>
              <w:t>太阳能庭院灯</w:t>
            </w:r>
          </w:p>
        </w:tc>
        <w:tc>
          <w:tcPr>
            <w:tcW w:w="1217" w:type="dxa"/>
            <w:vAlign w:val="center"/>
          </w:tcPr>
          <w:p w14:paraId="5F11C7AD"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lang w:val="en-US" w:eastAsia="zh-CN" w:bidi="ar"/>
              </w:rPr>
              <w:t>3.0</w:t>
            </w:r>
          </w:p>
        </w:tc>
        <w:tc>
          <w:tcPr>
            <w:tcW w:w="1217" w:type="dxa"/>
            <w:vAlign w:val="center"/>
          </w:tcPr>
          <w:p w14:paraId="488D46CB"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lang w:val="en-US" w:eastAsia="zh-CN" w:bidi="ar"/>
              </w:rPr>
              <w:t>15</w:t>
            </w:r>
          </w:p>
        </w:tc>
        <w:tc>
          <w:tcPr>
            <w:tcW w:w="1218" w:type="dxa"/>
            <w:vAlign w:val="center"/>
          </w:tcPr>
          <w:p w14:paraId="1DAF8354"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lang w:val="en-US" w:eastAsia="zh-CN" w:bidi="ar"/>
              </w:rPr>
              <w:t>30 LED</w:t>
            </w:r>
          </w:p>
        </w:tc>
        <w:tc>
          <w:tcPr>
            <w:tcW w:w="1218" w:type="dxa"/>
            <w:vAlign w:val="center"/>
          </w:tcPr>
          <w:p w14:paraId="561A6C05"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lang w:val="en-US" w:eastAsia="zh-CN" w:bidi="ar"/>
              </w:rPr>
              <w:t>光控</w:t>
            </w:r>
          </w:p>
        </w:tc>
        <w:tc>
          <w:tcPr>
            <w:tcW w:w="1218" w:type="dxa"/>
            <w:vAlign w:val="center"/>
          </w:tcPr>
          <w:p w14:paraId="27F5572F"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lang w:val="en-US" w:eastAsia="zh-CN" w:bidi="ar"/>
              </w:rPr>
              <w:t>自行车道</w:t>
            </w:r>
          </w:p>
        </w:tc>
      </w:tr>
      <w:tr w14:paraId="0165DD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217" w:type="dxa"/>
            <w:vAlign w:val="center"/>
          </w:tcPr>
          <w:p w14:paraId="6C568FCF"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lang w:val="en-US" w:eastAsia="zh-CN" w:bidi="ar"/>
              </w:rPr>
              <w:t>入口广场</w:t>
            </w:r>
          </w:p>
        </w:tc>
        <w:tc>
          <w:tcPr>
            <w:tcW w:w="1217" w:type="dxa"/>
            <w:vAlign w:val="center"/>
          </w:tcPr>
          <w:p w14:paraId="3F7CBD07"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lang w:val="en-US" w:eastAsia="zh-CN" w:bidi="ar"/>
              </w:rPr>
              <w:t>景观灯柱</w:t>
            </w:r>
          </w:p>
        </w:tc>
        <w:tc>
          <w:tcPr>
            <w:tcW w:w="1217" w:type="dxa"/>
            <w:vAlign w:val="center"/>
          </w:tcPr>
          <w:p w14:paraId="7B7E10FE"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lang w:val="en-US" w:eastAsia="zh-CN" w:bidi="ar"/>
              </w:rPr>
              <w:t>5.0-6.0</w:t>
            </w:r>
          </w:p>
        </w:tc>
        <w:tc>
          <w:tcPr>
            <w:tcW w:w="1217" w:type="dxa"/>
            <w:vAlign w:val="center"/>
          </w:tcPr>
          <w:p w14:paraId="100B0A10"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lang w:val="en-US" w:eastAsia="zh-CN" w:bidi="ar"/>
              </w:rPr>
              <w:t>15-20</w:t>
            </w:r>
          </w:p>
        </w:tc>
        <w:tc>
          <w:tcPr>
            <w:tcW w:w="1218" w:type="dxa"/>
            <w:vAlign w:val="center"/>
          </w:tcPr>
          <w:p w14:paraId="61C61B64"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lang w:val="en-US" w:eastAsia="zh-CN" w:bidi="ar"/>
              </w:rPr>
              <w:t>80-100 LED</w:t>
            </w:r>
          </w:p>
        </w:tc>
        <w:tc>
          <w:tcPr>
            <w:tcW w:w="1218" w:type="dxa"/>
            <w:vAlign w:val="center"/>
          </w:tcPr>
          <w:p w14:paraId="17FAC2E0"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lang w:val="en-US" w:eastAsia="zh-CN" w:bidi="ar"/>
              </w:rPr>
              <w:t>时控+手动</w:t>
            </w:r>
          </w:p>
        </w:tc>
        <w:tc>
          <w:tcPr>
            <w:tcW w:w="1218" w:type="dxa"/>
            <w:vAlign w:val="center"/>
          </w:tcPr>
          <w:p w14:paraId="0D8A8875"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lang w:val="en-US" w:eastAsia="zh-CN" w:bidi="ar"/>
              </w:rPr>
              <w:t>入口广场</w:t>
            </w:r>
          </w:p>
        </w:tc>
      </w:tr>
    </w:tbl>
    <w:p w14:paraId="668472EB">
      <w:pPr>
        <w:rPr>
          <w:rFonts w:hint="eastAsia" w:ascii="宋体" w:hAnsi="宋体" w:eastAsia="宋体" w:cs="宋体"/>
          <w:b/>
          <w:bCs/>
          <w:sz w:val="24"/>
          <w:szCs w:val="32"/>
        </w:rPr>
      </w:pPr>
    </w:p>
    <w:p w14:paraId="75C7B837">
      <w:pPr>
        <w:rPr>
          <w:rFonts w:hint="eastAsia" w:ascii="宋体" w:hAnsi="宋体" w:eastAsia="宋体" w:cs="宋体"/>
          <w:b/>
          <w:bCs/>
          <w:sz w:val="24"/>
          <w:szCs w:val="32"/>
        </w:rPr>
      </w:pPr>
      <w:r>
        <w:rPr>
          <w:rFonts w:hint="eastAsia" w:ascii="宋体" w:hAnsi="宋体" w:eastAsia="宋体" w:cs="宋体"/>
          <w:b/>
          <w:bCs/>
          <w:sz w:val="24"/>
          <w:szCs w:val="32"/>
        </w:rPr>
        <w:t>3.4照明技术措施</w:t>
      </w:r>
    </w:p>
    <w:p w14:paraId="28A1CE18">
      <w:pPr>
        <w:rPr>
          <w:rFonts w:hint="eastAsia" w:ascii="宋体" w:hAnsi="宋体" w:eastAsia="宋体" w:cs="宋体"/>
          <w:sz w:val="24"/>
          <w:szCs w:val="32"/>
        </w:rPr>
      </w:pPr>
      <w:r>
        <w:rPr>
          <w:rFonts w:hint="eastAsia" w:ascii="宋体" w:hAnsi="宋体" w:eastAsia="宋体" w:cs="宋体"/>
          <w:sz w:val="24"/>
          <w:szCs w:val="32"/>
        </w:rPr>
        <w:t>3.4.1太阳能照明系统</w:t>
      </w:r>
    </w:p>
    <w:p w14:paraId="75A43EFE">
      <w:pPr>
        <w:rPr>
          <w:rFonts w:hint="eastAsia" w:ascii="宋体" w:hAnsi="宋体" w:eastAsia="宋体" w:cs="宋体"/>
          <w:sz w:val="24"/>
          <w:szCs w:val="32"/>
        </w:rPr>
      </w:pPr>
      <w:r>
        <w:rPr>
          <w:rFonts w:hint="eastAsia" w:ascii="宋体" w:hAnsi="宋体" w:eastAsia="宋体" w:cs="宋体"/>
          <w:sz w:val="24"/>
          <w:szCs w:val="32"/>
        </w:rPr>
        <w:t>生态走廊、茶田小径优先采用太阳能灯具，白天充电、夜间照明，无需敷设电缆。</w:t>
      </w:r>
    </w:p>
    <w:p w14:paraId="6E51461A">
      <w:pPr>
        <w:rPr>
          <w:rFonts w:hint="eastAsia" w:ascii="宋体" w:hAnsi="宋体" w:eastAsia="宋体" w:cs="宋体"/>
          <w:sz w:val="24"/>
          <w:szCs w:val="32"/>
        </w:rPr>
      </w:pPr>
      <w:r>
        <w:rPr>
          <w:rFonts w:hint="eastAsia" w:ascii="宋体" w:hAnsi="宋体" w:eastAsia="宋体" w:cs="宋体"/>
          <w:sz w:val="24"/>
          <w:szCs w:val="32"/>
        </w:rPr>
        <w:t>太阳能电池板功率匹配灯具功率，连续阴雨天续航≥3天。</w:t>
      </w:r>
    </w:p>
    <w:p w14:paraId="38598D81">
      <w:pPr>
        <w:rPr>
          <w:rFonts w:hint="eastAsia" w:ascii="宋体" w:hAnsi="宋体" w:eastAsia="宋体" w:cs="宋体"/>
          <w:sz w:val="24"/>
          <w:szCs w:val="32"/>
        </w:rPr>
      </w:pPr>
      <w:r>
        <w:rPr>
          <w:rFonts w:hint="eastAsia" w:ascii="宋体" w:hAnsi="宋体" w:eastAsia="宋体" w:cs="宋体"/>
          <w:sz w:val="24"/>
          <w:szCs w:val="32"/>
        </w:rPr>
        <w:t>蓄电池采用磷酸铁锂电池，使用寿命≥5年。</w:t>
      </w:r>
    </w:p>
    <w:p w14:paraId="13537A3B">
      <w:pPr>
        <w:rPr>
          <w:rFonts w:hint="eastAsia" w:ascii="宋体" w:hAnsi="宋体" w:eastAsia="宋体" w:cs="宋体"/>
          <w:sz w:val="24"/>
          <w:szCs w:val="32"/>
        </w:rPr>
      </w:pPr>
      <w:r>
        <w:rPr>
          <w:rFonts w:hint="eastAsia" w:ascii="宋体" w:hAnsi="宋体" w:eastAsia="宋体" w:cs="宋体"/>
          <w:sz w:val="24"/>
          <w:szCs w:val="32"/>
        </w:rPr>
        <w:t>3.4.2智能控制</w:t>
      </w:r>
    </w:p>
    <w:p w14:paraId="5B144F69">
      <w:pPr>
        <w:rPr>
          <w:rFonts w:hint="eastAsia" w:ascii="宋体" w:hAnsi="宋体" w:eastAsia="宋体" w:cs="宋体"/>
          <w:sz w:val="24"/>
          <w:szCs w:val="32"/>
        </w:rPr>
      </w:pPr>
      <w:r>
        <w:rPr>
          <w:rFonts w:hint="eastAsia" w:ascii="宋体" w:hAnsi="宋体" w:eastAsia="宋体" w:cs="宋体"/>
          <w:sz w:val="24"/>
          <w:szCs w:val="32"/>
        </w:rPr>
        <w:t>主要道路照明设光控+时控双重控制，黄昏自动开启，深夜自动调低亮度或间隔开启。</w:t>
      </w:r>
    </w:p>
    <w:p w14:paraId="05EA425B">
      <w:pPr>
        <w:rPr>
          <w:rFonts w:hint="eastAsia" w:ascii="宋体" w:hAnsi="宋体" w:eastAsia="宋体" w:cs="宋体"/>
          <w:sz w:val="24"/>
          <w:szCs w:val="32"/>
        </w:rPr>
      </w:pPr>
      <w:r>
        <w:rPr>
          <w:rFonts w:hint="eastAsia" w:ascii="宋体" w:hAnsi="宋体" w:eastAsia="宋体" w:cs="宋体"/>
          <w:sz w:val="24"/>
          <w:szCs w:val="32"/>
        </w:rPr>
        <w:t>庭院步道采用红外感应照明，人员接近时自动亮起，无人时保持微光或熄灭，节能率≥50%。</w:t>
      </w:r>
    </w:p>
    <w:p w14:paraId="38FFBD87">
      <w:pPr>
        <w:rPr>
          <w:rFonts w:hint="eastAsia" w:ascii="宋体" w:hAnsi="宋体" w:eastAsia="宋体" w:cs="宋体"/>
          <w:sz w:val="24"/>
          <w:szCs w:val="32"/>
        </w:rPr>
      </w:pPr>
      <w:r>
        <w:rPr>
          <w:rFonts w:hint="eastAsia" w:ascii="宋体" w:hAnsi="宋体" w:eastAsia="宋体" w:cs="宋体"/>
          <w:sz w:val="24"/>
          <w:szCs w:val="32"/>
        </w:rPr>
        <w:t>集中控制平台可远程监控照明状态，故障自动报警。</w:t>
      </w:r>
    </w:p>
    <w:p w14:paraId="0A15F803">
      <w:pPr>
        <w:rPr>
          <w:rFonts w:hint="eastAsia" w:ascii="宋体" w:hAnsi="宋体" w:eastAsia="宋体" w:cs="宋体"/>
          <w:sz w:val="24"/>
          <w:szCs w:val="32"/>
        </w:rPr>
      </w:pPr>
      <w:r>
        <w:rPr>
          <w:rFonts w:hint="eastAsia" w:ascii="宋体" w:hAnsi="宋体" w:eastAsia="宋体" w:cs="宋体"/>
          <w:sz w:val="24"/>
          <w:szCs w:val="32"/>
        </w:rPr>
        <w:t>3.4.3防眩光与光污染控制</w:t>
      </w:r>
    </w:p>
    <w:p w14:paraId="2D708A4C">
      <w:pPr>
        <w:rPr>
          <w:rFonts w:hint="eastAsia" w:ascii="宋体" w:hAnsi="宋体" w:eastAsia="宋体" w:cs="宋体"/>
          <w:sz w:val="24"/>
          <w:szCs w:val="32"/>
        </w:rPr>
      </w:pPr>
      <w:r>
        <w:rPr>
          <w:rFonts w:hint="eastAsia" w:ascii="宋体" w:hAnsi="宋体" w:eastAsia="宋体" w:cs="宋体"/>
          <w:sz w:val="24"/>
          <w:szCs w:val="32"/>
        </w:rPr>
        <w:t>灯具采用遮光罩或反射器，光线向下投射，避免向上溢散。</w:t>
      </w:r>
    </w:p>
    <w:p w14:paraId="2398F5DA">
      <w:pPr>
        <w:rPr>
          <w:rFonts w:hint="eastAsia" w:ascii="宋体" w:hAnsi="宋体" w:eastAsia="宋体" w:cs="宋体"/>
          <w:sz w:val="24"/>
          <w:szCs w:val="32"/>
        </w:rPr>
      </w:pPr>
      <w:r>
        <w:rPr>
          <w:rFonts w:hint="eastAsia" w:ascii="宋体" w:hAnsi="宋体" w:eastAsia="宋体" w:cs="宋体"/>
          <w:sz w:val="24"/>
          <w:szCs w:val="32"/>
        </w:rPr>
        <w:t>灯具色温≤3000K（暖白光），营造温馨舒适的夜间环境。</w:t>
      </w:r>
    </w:p>
    <w:p w14:paraId="3211D0E7">
      <w:pPr>
        <w:rPr>
          <w:rFonts w:hint="eastAsia" w:ascii="宋体" w:hAnsi="宋体" w:eastAsia="宋体" w:cs="宋体"/>
          <w:sz w:val="24"/>
          <w:szCs w:val="32"/>
        </w:rPr>
      </w:pPr>
      <w:r>
        <w:rPr>
          <w:rFonts w:hint="eastAsia" w:ascii="宋体" w:hAnsi="宋体" w:eastAsia="宋体" w:cs="宋体"/>
          <w:sz w:val="24"/>
          <w:szCs w:val="32"/>
        </w:rPr>
        <w:t>避免在生态敏感区设置高亮度照明，保护夜间生物栖息环境。</w:t>
      </w:r>
    </w:p>
    <w:p w14:paraId="3D509A2E">
      <w:pPr>
        <w:rPr>
          <w:rFonts w:hint="eastAsia" w:ascii="宋体" w:hAnsi="宋体" w:eastAsia="宋体" w:cs="宋体"/>
          <w:b/>
          <w:bCs/>
          <w:sz w:val="28"/>
          <w:szCs w:val="36"/>
        </w:rPr>
      </w:pPr>
      <w:r>
        <w:rPr>
          <w:rFonts w:hint="eastAsia" w:ascii="宋体" w:hAnsi="宋体" w:eastAsia="宋体" w:cs="宋体"/>
          <w:b/>
          <w:bCs/>
          <w:sz w:val="28"/>
          <w:szCs w:val="36"/>
        </w:rPr>
        <w:t>第四章安全与应急照明</w:t>
      </w:r>
    </w:p>
    <w:p w14:paraId="50F8BCD8">
      <w:pPr>
        <w:rPr>
          <w:rFonts w:hint="eastAsia" w:ascii="宋体" w:hAnsi="宋体" w:eastAsia="宋体" w:cs="宋体"/>
          <w:b/>
          <w:bCs/>
          <w:sz w:val="24"/>
          <w:szCs w:val="32"/>
        </w:rPr>
      </w:pPr>
      <w:r>
        <w:rPr>
          <w:rFonts w:hint="eastAsia" w:ascii="宋体" w:hAnsi="宋体" w:eastAsia="宋体" w:cs="宋体"/>
          <w:b/>
          <w:bCs/>
          <w:sz w:val="24"/>
          <w:szCs w:val="32"/>
        </w:rPr>
        <w:t>4.1应急照明设置</w:t>
      </w:r>
    </w:p>
    <w:p w14:paraId="6BE59046">
      <w:pPr>
        <w:rPr>
          <w:rFonts w:hint="eastAsia" w:ascii="宋体" w:hAnsi="宋体" w:eastAsia="宋体" w:cs="宋体"/>
          <w:sz w:val="24"/>
          <w:szCs w:val="32"/>
        </w:rPr>
      </w:pPr>
      <w:r>
        <w:rPr>
          <w:rFonts w:hint="eastAsia" w:ascii="宋体" w:hAnsi="宋体" w:eastAsia="宋体" w:cs="宋体"/>
          <w:sz w:val="24"/>
          <w:szCs w:val="32"/>
        </w:rPr>
        <w:t>主要步道、台阶、坡道、出入口设应急照明灯具，蓄电池供电时间≥90分钟。</w:t>
      </w:r>
    </w:p>
    <w:p w14:paraId="159D650F">
      <w:pPr>
        <w:rPr>
          <w:rFonts w:hint="eastAsia" w:ascii="宋体" w:hAnsi="宋体" w:eastAsia="宋体" w:cs="宋体"/>
          <w:sz w:val="24"/>
          <w:szCs w:val="32"/>
        </w:rPr>
      </w:pPr>
      <w:r>
        <w:rPr>
          <w:rFonts w:hint="eastAsia" w:ascii="宋体" w:hAnsi="宋体" w:eastAsia="宋体" w:cs="宋体"/>
          <w:sz w:val="24"/>
          <w:szCs w:val="32"/>
        </w:rPr>
        <w:t>应急照明照度不低于正常照度的50%，保障紧急疏散需求。</w:t>
      </w:r>
    </w:p>
    <w:p w14:paraId="0783C6EA">
      <w:pPr>
        <w:rPr>
          <w:rFonts w:hint="eastAsia" w:ascii="宋体" w:hAnsi="宋体" w:eastAsia="宋体" w:cs="宋体"/>
          <w:b/>
          <w:bCs/>
          <w:sz w:val="24"/>
          <w:szCs w:val="32"/>
        </w:rPr>
      </w:pPr>
      <w:r>
        <w:rPr>
          <w:rFonts w:hint="eastAsia" w:ascii="宋体" w:hAnsi="宋体" w:eastAsia="宋体" w:cs="宋体"/>
          <w:b/>
          <w:bCs/>
          <w:sz w:val="24"/>
          <w:szCs w:val="32"/>
        </w:rPr>
        <w:t>4.2安全提示照明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left w:w="108" w:type="dxa"/>
          <w:right w:w="108" w:type="dxa"/>
        </w:tblCellMar>
      </w:tblPr>
      <w:tblGrid>
        <w:gridCol w:w="2129"/>
        <w:gridCol w:w="1759"/>
        <w:gridCol w:w="2501"/>
        <w:gridCol w:w="2130"/>
      </w:tblGrid>
      <w:tr w14:paraId="296701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2129" w:type="dxa"/>
            <w:vAlign w:val="center"/>
          </w:tcPr>
          <w:p w14:paraId="459C2D18"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rPr>
                <w:rFonts w:hint="eastAsia" w:ascii="宋体" w:hAnsi="宋体" w:eastAsia="宋体" w:cs="宋体"/>
                <w:color w:val="auto"/>
                <w:sz w:val="24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lang w:val="en-US" w:eastAsia="zh-CN" w:bidi="ar"/>
              </w:rPr>
              <w:t>位置</w:t>
            </w:r>
          </w:p>
        </w:tc>
        <w:tc>
          <w:tcPr>
            <w:tcW w:w="1759" w:type="dxa"/>
            <w:vAlign w:val="center"/>
          </w:tcPr>
          <w:p w14:paraId="0CE8620B"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rPr>
                <w:rFonts w:hint="eastAsia" w:ascii="宋体" w:hAnsi="宋体" w:eastAsia="宋体" w:cs="宋体"/>
                <w:color w:val="auto"/>
                <w:sz w:val="24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lang w:val="en-US" w:eastAsia="zh-CN" w:bidi="ar"/>
              </w:rPr>
              <w:t>照明措施</w:t>
            </w:r>
          </w:p>
        </w:tc>
        <w:tc>
          <w:tcPr>
            <w:tcW w:w="2501" w:type="dxa"/>
            <w:vAlign w:val="center"/>
          </w:tcPr>
          <w:p w14:paraId="5A8BF691"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rPr>
                <w:rFonts w:hint="eastAsia" w:ascii="宋体" w:hAnsi="宋体" w:eastAsia="宋体" w:cs="宋体"/>
                <w:color w:val="auto"/>
                <w:sz w:val="24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lang w:val="en-US" w:eastAsia="zh-CN" w:bidi="ar"/>
              </w:rPr>
              <w:t>作用</w:t>
            </w:r>
          </w:p>
        </w:tc>
        <w:tc>
          <w:tcPr>
            <w:tcW w:w="2130" w:type="dxa"/>
            <w:vAlign w:val="center"/>
          </w:tcPr>
          <w:p w14:paraId="2DA4A8B2"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rPr>
                <w:rFonts w:hint="eastAsia" w:ascii="宋体" w:hAnsi="宋体" w:eastAsia="宋体" w:cs="宋体"/>
                <w:color w:val="auto"/>
                <w:sz w:val="24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lang w:val="en-US" w:eastAsia="zh-CN" w:bidi="ar"/>
              </w:rPr>
              <w:t>位置</w:t>
            </w:r>
          </w:p>
        </w:tc>
      </w:tr>
      <w:tr w14:paraId="670F29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2129" w:type="dxa"/>
            <w:vAlign w:val="center"/>
          </w:tcPr>
          <w:p w14:paraId="28BB824F"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rPr>
                <w:rFonts w:hint="eastAsia" w:ascii="宋体" w:hAnsi="宋体" w:eastAsia="宋体" w:cs="宋体"/>
                <w:color w:val="auto"/>
                <w:sz w:val="24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lang w:val="en-US" w:eastAsia="zh-CN" w:bidi="ar"/>
              </w:rPr>
              <w:t>台阶边缘</w:t>
            </w:r>
          </w:p>
        </w:tc>
        <w:tc>
          <w:tcPr>
            <w:tcW w:w="1759" w:type="dxa"/>
            <w:vAlign w:val="center"/>
          </w:tcPr>
          <w:p w14:paraId="2298A68A"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rPr>
                <w:rFonts w:hint="eastAsia" w:ascii="宋体" w:hAnsi="宋体" w:eastAsia="宋体" w:cs="宋体"/>
                <w:color w:val="auto"/>
                <w:sz w:val="24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lang w:val="en-US" w:eastAsia="zh-CN" w:bidi="ar"/>
              </w:rPr>
              <w:t>LED灯带或地埋灯</w:t>
            </w:r>
          </w:p>
        </w:tc>
        <w:tc>
          <w:tcPr>
            <w:tcW w:w="2501" w:type="dxa"/>
            <w:vAlign w:val="center"/>
          </w:tcPr>
          <w:p w14:paraId="2796CA22"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rPr>
                <w:rFonts w:hint="eastAsia" w:ascii="宋体" w:hAnsi="宋体" w:eastAsia="宋体" w:cs="宋体"/>
                <w:color w:val="auto"/>
                <w:sz w:val="24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lang w:val="en-US" w:eastAsia="zh-CN" w:bidi="ar"/>
              </w:rPr>
              <w:t>警示台阶位置，防止踏空</w:t>
            </w:r>
          </w:p>
        </w:tc>
        <w:tc>
          <w:tcPr>
            <w:tcW w:w="2130" w:type="dxa"/>
            <w:vAlign w:val="center"/>
          </w:tcPr>
          <w:p w14:paraId="6F302D28"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rPr>
                <w:rFonts w:hint="eastAsia" w:ascii="宋体" w:hAnsi="宋体" w:eastAsia="宋体" w:cs="宋体"/>
                <w:color w:val="auto"/>
                <w:sz w:val="24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lang w:val="en-US" w:eastAsia="zh-CN" w:bidi="ar"/>
              </w:rPr>
              <w:t>台阶边缘</w:t>
            </w:r>
          </w:p>
        </w:tc>
      </w:tr>
      <w:tr w14:paraId="24ECA3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2129" w:type="dxa"/>
            <w:vAlign w:val="center"/>
          </w:tcPr>
          <w:p w14:paraId="419722CA"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rPr>
                <w:rFonts w:hint="eastAsia" w:ascii="宋体" w:hAnsi="宋体" w:eastAsia="宋体" w:cs="宋体"/>
                <w:color w:val="auto"/>
                <w:sz w:val="24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lang w:val="en-US" w:eastAsia="zh-CN" w:bidi="ar"/>
              </w:rPr>
              <w:t>坡道边缘</w:t>
            </w:r>
          </w:p>
        </w:tc>
        <w:tc>
          <w:tcPr>
            <w:tcW w:w="1759" w:type="dxa"/>
            <w:vAlign w:val="center"/>
          </w:tcPr>
          <w:p w14:paraId="2D7E9C21"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rPr>
                <w:rFonts w:hint="eastAsia" w:ascii="宋体" w:hAnsi="宋体" w:eastAsia="宋体" w:cs="宋体"/>
                <w:color w:val="auto"/>
                <w:sz w:val="24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lang w:val="en-US" w:eastAsia="zh-CN" w:bidi="ar"/>
              </w:rPr>
              <w:t>反光条或灯带</w:t>
            </w:r>
          </w:p>
        </w:tc>
        <w:tc>
          <w:tcPr>
            <w:tcW w:w="2501" w:type="dxa"/>
            <w:vAlign w:val="center"/>
          </w:tcPr>
          <w:p w14:paraId="0184B686"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rPr>
                <w:rFonts w:hint="eastAsia" w:ascii="宋体" w:hAnsi="宋体" w:eastAsia="宋体" w:cs="宋体"/>
                <w:color w:val="auto"/>
                <w:sz w:val="24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lang w:val="en-US" w:eastAsia="zh-CN" w:bidi="ar"/>
              </w:rPr>
              <w:t>指示边界，引导方向</w:t>
            </w:r>
          </w:p>
        </w:tc>
        <w:tc>
          <w:tcPr>
            <w:tcW w:w="2130" w:type="dxa"/>
            <w:vAlign w:val="center"/>
          </w:tcPr>
          <w:p w14:paraId="56F69967"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rPr>
                <w:rFonts w:hint="eastAsia" w:ascii="宋体" w:hAnsi="宋体" w:eastAsia="宋体" w:cs="宋体"/>
                <w:color w:val="auto"/>
                <w:sz w:val="24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lang w:val="en-US" w:eastAsia="zh-CN" w:bidi="ar"/>
              </w:rPr>
              <w:t>坡道边缘</w:t>
            </w:r>
          </w:p>
        </w:tc>
      </w:tr>
      <w:tr w14:paraId="2D01FB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2129" w:type="dxa"/>
            <w:vAlign w:val="center"/>
          </w:tcPr>
          <w:p w14:paraId="6E53078E"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rPr>
                <w:rFonts w:hint="eastAsia" w:ascii="宋体" w:hAnsi="宋体" w:eastAsia="宋体" w:cs="宋体"/>
                <w:color w:val="auto"/>
                <w:sz w:val="24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lang w:val="en-US" w:eastAsia="zh-CN" w:bidi="ar"/>
              </w:rPr>
              <w:t>转弯处</w:t>
            </w:r>
          </w:p>
        </w:tc>
        <w:tc>
          <w:tcPr>
            <w:tcW w:w="1759" w:type="dxa"/>
            <w:vAlign w:val="center"/>
          </w:tcPr>
          <w:p w14:paraId="56986ED5"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rPr>
                <w:rFonts w:hint="eastAsia" w:ascii="宋体" w:hAnsi="宋体" w:eastAsia="宋体" w:cs="宋体"/>
                <w:color w:val="auto"/>
                <w:sz w:val="24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lang w:val="en-US" w:eastAsia="zh-CN" w:bidi="ar"/>
              </w:rPr>
              <w:t>低位引导灯</w:t>
            </w:r>
          </w:p>
        </w:tc>
        <w:tc>
          <w:tcPr>
            <w:tcW w:w="2501" w:type="dxa"/>
            <w:vAlign w:val="center"/>
          </w:tcPr>
          <w:p w14:paraId="637A3A6A"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rPr>
                <w:rFonts w:hint="eastAsia" w:ascii="宋体" w:hAnsi="宋体" w:eastAsia="宋体" w:cs="宋体"/>
                <w:color w:val="auto"/>
                <w:sz w:val="24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lang w:val="en-US" w:eastAsia="zh-CN" w:bidi="ar"/>
              </w:rPr>
              <w:t>提示弯道，避免碰撞</w:t>
            </w:r>
          </w:p>
        </w:tc>
        <w:tc>
          <w:tcPr>
            <w:tcW w:w="2130" w:type="dxa"/>
            <w:vAlign w:val="center"/>
          </w:tcPr>
          <w:p w14:paraId="09B4AFCD"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rPr>
                <w:rFonts w:hint="eastAsia" w:ascii="宋体" w:hAnsi="宋体" w:eastAsia="宋体" w:cs="宋体"/>
                <w:color w:val="auto"/>
                <w:sz w:val="24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lang w:val="en-US" w:eastAsia="zh-CN" w:bidi="ar"/>
              </w:rPr>
              <w:t>转弯处</w:t>
            </w:r>
          </w:p>
        </w:tc>
      </w:tr>
      <w:tr w14:paraId="2F0F25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2129" w:type="dxa"/>
            <w:vAlign w:val="center"/>
          </w:tcPr>
          <w:p w14:paraId="3D736C11"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rPr>
                <w:rFonts w:hint="eastAsia" w:ascii="宋体" w:hAnsi="宋体" w:eastAsia="宋体" w:cs="宋体"/>
                <w:color w:val="auto"/>
                <w:sz w:val="24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lang w:val="en-US" w:eastAsia="zh-CN" w:bidi="ar"/>
              </w:rPr>
              <w:t>交叉口</w:t>
            </w:r>
          </w:p>
        </w:tc>
        <w:tc>
          <w:tcPr>
            <w:tcW w:w="1759" w:type="dxa"/>
            <w:vAlign w:val="center"/>
          </w:tcPr>
          <w:p w14:paraId="7C0985DD"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rPr>
                <w:rFonts w:hint="eastAsia" w:ascii="宋体" w:hAnsi="宋体" w:eastAsia="宋体" w:cs="宋体"/>
                <w:color w:val="auto"/>
                <w:sz w:val="24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lang w:val="en-US" w:eastAsia="zh-CN" w:bidi="ar"/>
              </w:rPr>
              <w:t>加强照明</w:t>
            </w:r>
          </w:p>
        </w:tc>
        <w:tc>
          <w:tcPr>
            <w:tcW w:w="2501" w:type="dxa"/>
            <w:vAlign w:val="center"/>
          </w:tcPr>
          <w:p w14:paraId="7D089C3F"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rPr>
                <w:rFonts w:hint="eastAsia" w:ascii="宋体" w:hAnsi="宋体" w:eastAsia="宋体" w:cs="宋体"/>
                <w:color w:val="auto"/>
                <w:sz w:val="24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lang w:val="en-US" w:eastAsia="zh-CN" w:bidi="ar"/>
              </w:rPr>
              <w:t>提高辨识度，防止误入</w:t>
            </w:r>
          </w:p>
        </w:tc>
        <w:tc>
          <w:tcPr>
            <w:tcW w:w="2130" w:type="dxa"/>
            <w:vAlign w:val="center"/>
          </w:tcPr>
          <w:p w14:paraId="07EFE7DC"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rPr>
                <w:rFonts w:hint="eastAsia" w:ascii="宋体" w:hAnsi="宋体" w:eastAsia="宋体" w:cs="宋体"/>
                <w:color w:val="auto"/>
                <w:sz w:val="24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lang w:val="en-US" w:eastAsia="zh-CN" w:bidi="ar"/>
              </w:rPr>
              <w:t>交叉口</w:t>
            </w:r>
          </w:p>
        </w:tc>
      </w:tr>
    </w:tbl>
    <w:p w14:paraId="5501149E">
      <w:pPr>
        <w:rPr>
          <w:rFonts w:hint="eastAsia" w:ascii="宋体" w:hAnsi="宋体" w:eastAsia="宋体" w:cs="宋体"/>
          <w:sz w:val="24"/>
          <w:szCs w:val="32"/>
        </w:rPr>
      </w:pPr>
    </w:p>
    <w:p w14:paraId="4F7AFD83">
      <w:pPr>
        <w:rPr>
          <w:rFonts w:hint="eastAsia" w:ascii="宋体" w:hAnsi="宋体" w:eastAsia="宋体" w:cs="宋体"/>
          <w:b/>
          <w:bCs/>
          <w:sz w:val="28"/>
          <w:szCs w:val="36"/>
        </w:rPr>
      </w:pPr>
      <w:r>
        <w:rPr>
          <w:rFonts w:hint="eastAsia" w:ascii="宋体" w:hAnsi="宋体" w:eastAsia="宋体" w:cs="宋体"/>
          <w:b/>
          <w:bCs/>
          <w:sz w:val="28"/>
          <w:szCs w:val="36"/>
        </w:rPr>
        <w:t>第五章景观融合与特色设计</w:t>
      </w:r>
    </w:p>
    <w:p w14:paraId="58D5F069">
      <w:pPr>
        <w:rPr>
          <w:rFonts w:hint="eastAsia" w:ascii="宋体" w:hAnsi="宋体" w:eastAsia="宋体" w:cs="宋体"/>
          <w:b/>
          <w:bCs/>
          <w:sz w:val="24"/>
          <w:szCs w:val="32"/>
        </w:rPr>
      </w:pPr>
      <w:r>
        <w:rPr>
          <w:rFonts w:hint="eastAsia" w:ascii="宋体" w:hAnsi="宋体" w:eastAsia="宋体" w:cs="宋体"/>
          <w:b/>
          <w:bCs/>
          <w:sz w:val="24"/>
          <w:szCs w:val="32"/>
        </w:rPr>
        <w:t>5.1照明与景观融合</w:t>
      </w:r>
    </w:p>
    <w:p w14:paraId="210C4F70">
      <w:pPr>
        <w:rPr>
          <w:rFonts w:hint="eastAsia" w:ascii="宋体" w:hAnsi="宋体" w:eastAsia="宋体" w:cs="宋体"/>
          <w:sz w:val="24"/>
          <w:szCs w:val="32"/>
        </w:rPr>
      </w:pPr>
      <w:r>
        <w:rPr>
          <w:rFonts w:hint="eastAsia" w:ascii="宋体" w:hAnsi="宋体" w:eastAsia="宋体" w:cs="宋体"/>
          <w:sz w:val="24"/>
          <w:szCs w:val="32"/>
        </w:rPr>
        <w:t>灯具造型采用竹节、茶枝等武夷山元素，与茶园景观协调。</w:t>
      </w:r>
    </w:p>
    <w:p w14:paraId="1ECBE9D1">
      <w:pPr>
        <w:rPr>
          <w:rFonts w:hint="eastAsia" w:ascii="宋体" w:hAnsi="宋体" w:eastAsia="宋体" w:cs="宋体"/>
          <w:sz w:val="24"/>
          <w:szCs w:val="32"/>
        </w:rPr>
      </w:pPr>
      <w:r>
        <w:rPr>
          <w:rFonts w:hint="eastAsia" w:ascii="宋体" w:hAnsi="宋体" w:eastAsia="宋体" w:cs="宋体"/>
          <w:sz w:val="24"/>
          <w:szCs w:val="32"/>
        </w:rPr>
        <w:t>生态走廊采用格栅架空灯带，光线透过格栅形成斑驳光影。</w:t>
      </w:r>
    </w:p>
    <w:p w14:paraId="29292668">
      <w:pPr>
        <w:rPr>
          <w:rFonts w:hint="eastAsia" w:ascii="宋体" w:hAnsi="宋体" w:eastAsia="宋体" w:cs="宋体"/>
          <w:sz w:val="24"/>
          <w:szCs w:val="32"/>
        </w:rPr>
      </w:pPr>
      <w:r>
        <w:rPr>
          <w:rFonts w:hint="eastAsia" w:ascii="宋体" w:hAnsi="宋体" w:eastAsia="宋体" w:cs="宋体"/>
          <w:sz w:val="24"/>
          <w:szCs w:val="32"/>
        </w:rPr>
        <w:t>茶田区域采用低位照明，避免破坏茶田天际线。</w:t>
      </w:r>
    </w:p>
    <w:p w14:paraId="2556CF20">
      <w:pPr>
        <w:rPr>
          <w:rFonts w:hint="eastAsia" w:ascii="宋体" w:hAnsi="宋体" w:eastAsia="宋体" w:cs="宋体"/>
          <w:b/>
          <w:bCs/>
          <w:sz w:val="24"/>
          <w:szCs w:val="32"/>
        </w:rPr>
      </w:pPr>
      <w:r>
        <w:rPr>
          <w:rFonts w:hint="eastAsia" w:ascii="宋体" w:hAnsi="宋体" w:eastAsia="宋体" w:cs="宋体"/>
          <w:b/>
          <w:bCs/>
          <w:sz w:val="24"/>
          <w:szCs w:val="32"/>
        </w:rPr>
        <w:t>5.2夜景效果</w:t>
      </w:r>
    </w:p>
    <w:p w14:paraId="49913175">
      <w:pPr>
        <w:rPr>
          <w:rFonts w:hint="eastAsia" w:ascii="宋体" w:hAnsi="宋体" w:eastAsia="宋体" w:cs="宋体"/>
          <w:sz w:val="24"/>
          <w:szCs w:val="32"/>
        </w:rPr>
      </w:pPr>
      <w:r>
        <w:rPr>
          <w:rFonts w:hint="eastAsia" w:ascii="宋体" w:hAnsi="宋体" w:eastAsia="宋体" w:cs="宋体"/>
          <w:sz w:val="24"/>
          <w:szCs w:val="32"/>
        </w:rPr>
        <w:t>利用植物照明勾勒茶田轮廓，营造“萤火虫山谷”的浪漫夜景。</w:t>
      </w:r>
    </w:p>
    <w:p w14:paraId="4F3E8525">
      <w:pPr>
        <w:rPr>
          <w:rFonts w:hint="eastAsia" w:ascii="宋体" w:hAnsi="宋体" w:eastAsia="宋体" w:cs="宋体"/>
          <w:sz w:val="24"/>
          <w:szCs w:val="32"/>
        </w:rPr>
      </w:pPr>
      <w:r>
        <w:rPr>
          <w:rFonts w:hint="eastAsia" w:ascii="宋体" w:hAnsi="宋体" w:eastAsia="宋体" w:cs="宋体"/>
          <w:sz w:val="24"/>
          <w:szCs w:val="32"/>
        </w:rPr>
        <w:t>建筑立面设置洗墙灯，突出模数化建筑肌理。</w:t>
      </w:r>
    </w:p>
    <w:p w14:paraId="4299CF9C">
      <w:pPr>
        <w:rPr>
          <w:rFonts w:hint="eastAsia" w:ascii="宋体" w:hAnsi="宋体" w:eastAsia="宋体" w:cs="宋体"/>
          <w:sz w:val="24"/>
          <w:szCs w:val="32"/>
        </w:rPr>
      </w:pPr>
      <w:r>
        <w:rPr>
          <w:rFonts w:hint="eastAsia" w:ascii="宋体" w:hAnsi="宋体" w:eastAsia="宋体" w:cs="宋体"/>
          <w:sz w:val="24"/>
          <w:szCs w:val="32"/>
        </w:rPr>
        <w:t>水景区域设置水下灯，形成倒影效果。</w:t>
      </w:r>
    </w:p>
    <w:p w14:paraId="5F30D432">
      <w:pPr>
        <w:rPr>
          <w:rFonts w:hint="eastAsia" w:ascii="宋体" w:hAnsi="宋体" w:eastAsia="宋体" w:cs="宋体"/>
          <w:b/>
          <w:bCs/>
          <w:sz w:val="28"/>
          <w:szCs w:val="36"/>
        </w:rPr>
      </w:pPr>
      <w:r>
        <w:rPr>
          <w:rFonts w:hint="eastAsia" w:ascii="宋体" w:hAnsi="宋体" w:eastAsia="宋体" w:cs="宋体"/>
          <w:b/>
          <w:bCs/>
          <w:sz w:val="28"/>
          <w:szCs w:val="36"/>
        </w:rPr>
        <w:t>第六章施工与验收</w:t>
      </w:r>
    </w:p>
    <w:p w14:paraId="5B816026">
      <w:pPr>
        <w:rPr>
          <w:rFonts w:hint="eastAsia" w:ascii="宋体" w:hAnsi="宋体" w:eastAsia="宋体" w:cs="宋体"/>
          <w:b/>
          <w:bCs/>
          <w:sz w:val="24"/>
          <w:szCs w:val="32"/>
        </w:rPr>
      </w:pPr>
      <w:r>
        <w:rPr>
          <w:rFonts w:hint="eastAsia" w:ascii="宋体" w:hAnsi="宋体" w:eastAsia="宋体" w:cs="宋体"/>
          <w:b/>
          <w:bCs/>
          <w:sz w:val="24"/>
          <w:szCs w:val="32"/>
        </w:rPr>
        <w:t>6.1施工要求</w:t>
      </w:r>
    </w:p>
    <w:p w14:paraId="0D853DE1">
      <w:pPr>
        <w:rPr>
          <w:rFonts w:hint="eastAsia" w:ascii="宋体" w:hAnsi="宋体" w:eastAsia="宋体" w:cs="宋体"/>
          <w:sz w:val="24"/>
          <w:szCs w:val="32"/>
        </w:rPr>
      </w:pPr>
      <w:r>
        <w:rPr>
          <w:rFonts w:hint="eastAsia" w:ascii="宋体" w:hAnsi="宋体" w:eastAsia="宋体" w:cs="宋体"/>
          <w:sz w:val="24"/>
          <w:szCs w:val="32"/>
        </w:rPr>
        <w:t>1.太阳能灯具安装：基座牢固，朝向准确（南向偏西15°），无遮挡。</w:t>
      </w:r>
    </w:p>
    <w:p w14:paraId="0BEE787E">
      <w:pPr>
        <w:rPr>
          <w:rFonts w:hint="eastAsia" w:ascii="宋体" w:hAnsi="宋体" w:eastAsia="宋体" w:cs="宋体"/>
          <w:sz w:val="24"/>
          <w:szCs w:val="32"/>
        </w:rPr>
      </w:pPr>
      <w:r>
        <w:rPr>
          <w:rFonts w:hint="eastAsia" w:ascii="宋体" w:hAnsi="宋体" w:eastAsia="宋体" w:cs="宋体"/>
          <w:sz w:val="24"/>
          <w:szCs w:val="32"/>
        </w:rPr>
        <w:t>2.电缆敷设：穿管暗敷，埋深≥0.7m，穿墙处设防水套管。</w:t>
      </w:r>
    </w:p>
    <w:p w14:paraId="22961D4E">
      <w:pPr>
        <w:rPr>
          <w:rFonts w:hint="eastAsia" w:ascii="宋体" w:hAnsi="宋体" w:eastAsia="宋体" w:cs="宋体"/>
          <w:sz w:val="24"/>
          <w:szCs w:val="32"/>
        </w:rPr>
      </w:pPr>
      <w:r>
        <w:rPr>
          <w:rFonts w:hint="eastAsia" w:ascii="宋体" w:hAnsi="宋体" w:eastAsia="宋体" w:cs="宋体"/>
          <w:sz w:val="24"/>
          <w:szCs w:val="32"/>
        </w:rPr>
        <w:t>3.灯具调试：逐个测试照度、角度，确保无暗区、无眩光。</w:t>
      </w:r>
    </w:p>
    <w:p w14:paraId="7B4BA880">
      <w:pPr>
        <w:rPr>
          <w:rFonts w:hint="eastAsia" w:ascii="宋体" w:hAnsi="宋体" w:eastAsia="宋体" w:cs="宋体"/>
          <w:b/>
          <w:bCs/>
          <w:sz w:val="24"/>
          <w:szCs w:val="32"/>
        </w:rPr>
      </w:pPr>
      <w:r>
        <w:rPr>
          <w:rFonts w:hint="eastAsia" w:ascii="宋体" w:hAnsi="宋体" w:eastAsia="宋体" w:cs="宋体"/>
          <w:b/>
          <w:bCs/>
          <w:sz w:val="24"/>
          <w:szCs w:val="32"/>
        </w:rPr>
        <w:t>6.2验收要求</w:t>
      </w:r>
    </w:p>
    <w:p w14:paraId="2920213C">
      <w:pPr>
        <w:rPr>
          <w:rFonts w:hint="eastAsia" w:ascii="宋体" w:hAnsi="宋体" w:eastAsia="宋体" w:cs="宋体"/>
          <w:sz w:val="24"/>
          <w:szCs w:val="32"/>
        </w:rPr>
      </w:pPr>
      <w:r>
        <w:rPr>
          <w:rFonts w:hint="eastAsia" w:ascii="宋体" w:hAnsi="宋体" w:eastAsia="宋体" w:cs="宋体"/>
          <w:sz w:val="24"/>
          <w:szCs w:val="32"/>
        </w:rPr>
        <w:t>1.照度检测：按照明区域抽检，平均照度、均匀度符合设计要求。</w:t>
      </w:r>
    </w:p>
    <w:p w14:paraId="0DEC2CE3">
      <w:pPr>
        <w:rPr>
          <w:rFonts w:hint="eastAsia" w:ascii="宋体" w:hAnsi="宋体" w:eastAsia="宋体" w:cs="宋体"/>
          <w:sz w:val="24"/>
          <w:szCs w:val="32"/>
        </w:rPr>
      </w:pPr>
      <w:r>
        <w:rPr>
          <w:rFonts w:hint="eastAsia" w:ascii="宋体" w:hAnsi="宋体" w:eastAsia="宋体" w:cs="宋体"/>
          <w:sz w:val="24"/>
          <w:szCs w:val="32"/>
        </w:rPr>
        <w:t>2.控制系统调试：光控、时控、感应控制功能正常。</w:t>
      </w:r>
    </w:p>
    <w:p w14:paraId="6D88FB62">
      <w:pPr>
        <w:rPr>
          <w:rFonts w:hint="eastAsia" w:ascii="宋体" w:hAnsi="宋体" w:eastAsia="宋体" w:cs="宋体"/>
          <w:sz w:val="24"/>
          <w:szCs w:val="32"/>
        </w:rPr>
      </w:pPr>
      <w:r>
        <w:rPr>
          <w:rFonts w:hint="eastAsia" w:ascii="宋体" w:hAnsi="宋体" w:eastAsia="宋体" w:cs="宋体"/>
          <w:sz w:val="24"/>
          <w:szCs w:val="32"/>
        </w:rPr>
        <w:t>3.太阳能系统测试：连续阴雨天续航时间满足要求。</w:t>
      </w:r>
    </w:p>
    <w:p w14:paraId="32390874">
      <w:pPr>
        <w:rPr>
          <w:rFonts w:hint="eastAsia" w:ascii="宋体" w:hAnsi="宋体" w:eastAsia="宋体" w:cs="宋体"/>
          <w:b/>
          <w:bCs/>
          <w:sz w:val="28"/>
          <w:szCs w:val="36"/>
        </w:rPr>
      </w:pPr>
      <w:r>
        <w:rPr>
          <w:rFonts w:hint="eastAsia" w:ascii="宋体" w:hAnsi="宋体" w:eastAsia="宋体" w:cs="宋体"/>
          <w:b/>
          <w:bCs/>
          <w:sz w:val="28"/>
          <w:szCs w:val="36"/>
        </w:rPr>
        <w:t>第七章维护管理</w:t>
      </w:r>
    </w:p>
    <w:p w14:paraId="1DACD8AE">
      <w:pPr>
        <w:rPr>
          <w:rFonts w:hint="eastAsia" w:ascii="宋体" w:hAnsi="宋体" w:eastAsia="宋体" w:cs="宋体"/>
          <w:sz w:val="24"/>
          <w:szCs w:val="32"/>
        </w:rPr>
      </w:pPr>
      <w:r>
        <w:rPr>
          <w:rFonts w:hint="eastAsia" w:ascii="宋体" w:hAnsi="宋体" w:eastAsia="宋体" w:cs="宋体"/>
          <w:sz w:val="24"/>
          <w:szCs w:val="32"/>
        </w:rPr>
        <w:t>1.日常巡检：每周检查灯具完好性，清洁太阳能电池板表面。</w:t>
      </w:r>
    </w:p>
    <w:p w14:paraId="085C6618">
      <w:pPr>
        <w:rPr>
          <w:rFonts w:hint="eastAsia" w:ascii="宋体" w:hAnsi="宋体" w:eastAsia="宋体" w:cs="宋体"/>
          <w:sz w:val="24"/>
          <w:szCs w:val="32"/>
        </w:rPr>
      </w:pPr>
      <w:r>
        <w:rPr>
          <w:rFonts w:hint="eastAsia" w:ascii="宋体" w:hAnsi="宋体" w:eastAsia="宋体" w:cs="宋体"/>
          <w:sz w:val="24"/>
          <w:szCs w:val="32"/>
        </w:rPr>
        <w:t>2.定期检测：每半年检测照度，每年检测蓄电池容量。</w:t>
      </w:r>
    </w:p>
    <w:p w14:paraId="560A1FE2">
      <w:pPr>
        <w:rPr>
          <w:rFonts w:hint="eastAsia" w:ascii="宋体" w:hAnsi="宋体" w:eastAsia="宋体" w:cs="宋体"/>
          <w:sz w:val="24"/>
          <w:szCs w:val="32"/>
          <w:lang w:eastAsia="zh-CN"/>
        </w:rPr>
      </w:pPr>
      <w:r>
        <w:rPr>
          <w:rFonts w:hint="eastAsia" w:ascii="宋体" w:hAnsi="宋体" w:eastAsia="宋体" w:cs="宋体"/>
          <w:sz w:val="24"/>
          <w:szCs w:val="32"/>
        </w:rPr>
        <w:t>3.应急处理：发现照明故障24小时内修复，保障夜间通行安全。</w:t>
      </w:r>
    </w:p>
    <w:p w14:paraId="19003D9C">
      <w:pPr>
        <w:rPr>
          <w:rFonts w:hint="eastAsia" w:ascii="宋体" w:hAnsi="宋体" w:eastAsia="宋体" w:cs="宋体"/>
          <w:b/>
          <w:bCs/>
          <w:sz w:val="28"/>
          <w:szCs w:val="36"/>
        </w:rPr>
      </w:pPr>
      <w:r>
        <w:rPr>
          <w:rFonts w:hint="eastAsia" w:ascii="宋体" w:hAnsi="宋体" w:eastAsia="宋体" w:cs="宋体"/>
          <w:b/>
          <w:bCs/>
          <w:sz w:val="28"/>
          <w:szCs w:val="36"/>
        </w:rPr>
        <w:t>第</w:t>
      </w:r>
      <w:r>
        <w:rPr>
          <w:rFonts w:hint="eastAsia" w:ascii="宋体" w:hAnsi="宋体" w:eastAsia="宋体" w:cs="宋体"/>
          <w:b/>
          <w:bCs/>
          <w:sz w:val="28"/>
          <w:szCs w:val="36"/>
          <w:lang w:val="en-US" w:eastAsia="zh-CN"/>
        </w:rPr>
        <w:t>八</w:t>
      </w:r>
      <w:r>
        <w:rPr>
          <w:rFonts w:hint="eastAsia" w:ascii="宋体" w:hAnsi="宋体" w:eastAsia="宋体" w:cs="宋体"/>
          <w:b/>
          <w:bCs/>
          <w:sz w:val="28"/>
          <w:szCs w:val="36"/>
        </w:rPr>
        <w:t>章结语</w:t>
      </w:r>
    </w:p>
    <w:p w14:paraId="64FEA220">
      <w:pPr>
        <w:rPr>
          <w:rFonts w:hint="eastAsia" w:ascii="宋体" w:hAnsi="宋体" w:eastAsia="宋体" w:cs="宋体"/>
          <w:sz w:val="24"/>
          <w:szCs w:val="32"/>
        </w:rPr>
      </w:pPr>
      <w:r>
        <w:rPr>
          <w:rFonts w:hint="eastAsia" w:ascii="宋体" w:hAnsi="宋体" w:eastAsia="宋体" w:cs="宋体"/>
          <w:sz w:val="24"/>
          <w:szCs w:val="32"/>
        </w:rPr>
        <w:t>本工程通过“外部机动车止步+内部电瓶车接驳+全步行化路网”的人车分流体系，实现了山地茶旅综合体中交通与景观的和谐共生；步行与自行车交通系统采用太阳能照明与智能控制技术，在保障夜间通行安全的同时，实现了节能环保与景观融合的目标，符合《绿色建筑评价标准》GB/T503782019第4.2.5条的要求。</w:t>
      </w:r>
    </w:p>
    <w:p w14:paraId="7434DB8D">
      <w:pPr>
        <w:rPr>
          <w:rFonts w:hint="eastAsia" w:ascii="宋体" w:hAnsi="宋体" w:eastAsia="宋体" w:cs="宋体"/>
          <w:sz w:val="24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E3B24B5"/>
    <w:rsid w:val="01E826E2"/>
    <w:rsid w:val="02EA5E64"/>
    <w:rsid w:val="054C6DC8"/>
    <w:rsid w:val="074B1157"/>
    <w:rsid w:val="0804000E"/>
    <w:rsid w:val="0AAC3720"/>
    <w:rsid w:val="0B1F5DFE"/>
    <w:rsid w:val="0F672256"/>
    <w:rsid w:val="0F817A89"/>
    <w:rsid w:val="10AB0D9A"/>
    <w:rsid w:val="110F44A1"/>
    <w:rsid w:val="132977A5"/>
    <w:rsid w:val="13686505"/>
    <w:rsid w:val="13A670F0"/>
    <w:rsid w:val="169B423D"/>
    <w:rsid w:val="16E63B0F"/>
    <w:rsid w:val="174E21EB"/>
    <w:rsid w:val="19F33BFA"/>
    <w:rsid w:val="1A7A2259"/>
    <w:rsid w:val="1F7916F3"/>
    <w:rsid w:val="21031370"/>
    <w:rsid w:val="225F0B56"/>
    <w:rsid w:val="23377E87"/>
    <w:rsid w:val="255900F5"/>
    <w:rsid w:val="263A0CAE"/>
    <w:rsid w:val="27E06D3B"/>
    <w:rsid w:val="2F770F8B"/>
    <w:rsid w:val="3138447C"/>
    <w:rsid w:val="336E0BB9"/>
    <w:rsid w:val="3391587F"/>
    <w:rsid w:val="36117ABA"/>
    <w:rsid w:val="37146A02"/>
    <w:rsid w:val="37766623"/>
    <w:rsid w:val="3A493650"/>
    <w:rsid w:val="3C9276A8"/>
    <w:rsid w:val="3D630DE3"/>
    <w:rsid w:val="3F4B54B4"/>
    <w:rsid w:val="3FF2253A"/>
    <w:rsid w:val="40E23136"/>
    <w:rsid w:val="459D70D8"/>
    <w:rsid w:val="478B28FF"/>
    <w:rsid w:val="4791089A"/>
    <w:rsid w:val="49057C6F"/>
    <w:rsid w:val="49101F82"/>
    <w:rsid w:val="51E945FD"/>
    <w:rsid w:val="56A46A8E"/>
    <w:rsid w:val="59310A84"/>
    <w:rsid w:val="5BB0532E"/>
    <w:rsid w:val="5BFB3733"/>
    <w:rsid w:val="5E3B24B5"/>
    <w:rsid w:val="60254083"/>
    <w:rsid w:val="60A73A4C"/>
    <w:rsid w:val="616D396F"/>
    <w:rsid w:val="6414544B"/>
    <w:rsid w:val="66837B78"/>
    <w:rsid w:val="698D095A"/>
    <w:rsid w:val="6BFF1167"/>
    <w:rsid w:val="6E9C2F74"/>
    <w:rsid w:val="6EBE3F23"/>
    <w:rsid w:val="72E227E3"/>
    <w:rsid w:val="733C0E0D"/>
    <w:rsid w:val="743B192E"/>
    <w:rsid w:val="7455531E"/>
    <w:rsid w:val="74D23902"/>
    <w:rsid w:val="75DB589D"/>
    <w:rsid w:val="77057462"/>
    <w:rsid w:val="787637DC"/>
    <w:rsid w:val="791B31C0"/>
    <w:rsid w:val="7B4E665E"/>
    <w:rsid w:val="7BC86E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7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2026-03-21T06:39:00Z</dcterms:created>
  <dc:creator>Luffy</dc:creator>
  <cp:lastModifiedBy>Luffy</cp:lastModifiedBy>
  <dcterms:modified xsi:type="dcterms:W3CDTF">2026-03-21T06:46:58Z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6EE16A7DA6324501B723FF8EEF6AF4A4_11</vt:lpwstr>
  </property>
  <property fmtid="{D5CDD505-2E9C-101B-9397-08002B2CF9AE}" pid="4" name="KSOTemplateDocerSaveRecord">
    <vt:lpwstr>eyJoZGlkIjoiNmNkMGU5ZTdlM2IxOTdmNzM2NzIxOGNkOGE4MmE0ZTAiLCJ1c2VySWQiOiI4MDA4NTQ0MjYifQ==</vt:lpwstr>
  </property>
</Properties>
</file>