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4120F">
      <w:pPr>
        <w:spacing w:line="360" w:lineRule="auto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场地污染源控制与治理报告</w:t>
      </w:r>
    </w:p>
    <w:p w14:paraId="677D11E8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一、编制依据</w:t>
      </w:r>
    </w:p>
    <w:p w14:paraId="46CBFBBF">
      <w:pPr>
        <w:spacing w:line="360" w:lineRule="auto"/>
        <w:rPr>
          <w:rFonts w:hint="eastAsia"/>
        </w:rPr>
      </w:pPr>
      <w:r>
        <w:rPr>
          <w:rFonts w:hint="eastAsia"/>
        </w:rPr>
        <w:t>1.《中华人民共和国环境保护法》</w:t>
      </w:r>
    </w:p>
    <w:p w14:paraId="037247EF">
      <w:pPr>
        <w:spacing w:line="360" w:lineRule="auto"/>
        <w:rPr>
          <w:rFonts w:hint="eastAsia"/>
        </w:rPr>
      </w:pPr>
      <w:r>
        <w:rPr>
          <w:rFonts w:hint="eastAsia"/>
        </w:rPr>
        <w:t>2.《中华人民共和国大气污染防治法》</w:t>
      </w:r>
    </w:p>
    <w:p w14:paraId="357F2C37">
      <w:pPr>
        <w:spacing w:line="360" w:lineRule="auto"/>
        <w:rPr>
          <w:rFonts w:hint="eastAsia"/>
        </w:rPr>
      </w:pPr>
      <w:r>
        <w:rPr>
          <w:rFonts w:hint="eastAsia"/>
        </w:rPr>
        <w:t>3.《中华人民共和国水污染防治法》</w:t>
      </w:r>
    </w:p>
    <w:p w14:paraId="10A8C317">
      <w:pPr>
        <w:spacing w:line="360" w:lineRule="auto"/>
        <w:rPr>
          <w:rFonts w:hint="eastAsia"/>
        </w:rPr>
      </w:pPr>
      <w:r>
        <w:rPr>
          <w:rFonts w:hint="eastAsia"/>
        </w:rPr>
        <w:t>4.《声环境质量标准》GB30962008</w:t>
      </w:r>
    </w:p>
    <w:p w14:paraId="661F5813">
      <w:pPr>
        <w:spacing w:line="360" w:lineRule="auto"/>
        <w:rPr>
          <w:rFonts w:hint="eastAsia"/>
        </w:rPr>
      </w:pPr>
      <w:r>
        <w:rPr>
          <w:rFonts w:hint="eastAsia"/>
        </w:rPr>
        <w:t>5.《环境空气质量标准》GB30952012</w:t>
      </w:r>
    </w:p>
    <w:p w14:paraId="1F94CB42">
      <w:pPr>
        <w:spacing w:line="360" w:lineRule="auto"/>
        <w:rPr>
          <w:rFonts w:hint="eastAsia"/>
        </w:rPr>
      </w:pPr>
      <w:r>
        <w:rPr>
          <w:rFonts w:hint="eastAsia"/>
        </w:rPr>
        <w:t>6.《污水综合排放标准》GB89781996</w:t>
      </w:r>
    </w:p>
    <w:p w14:paraId="46970213">
      <w:pPr>
        <w:spacing w:line="360" w:lineRule="auto"/>
        <w:rPr>
          <w:rFonts w:hint="eastAsia"/>
        </w:rPr>
      </w:pPr>
      <w:r>
        <w:rPr>
          <w:rFonts w:hint="eastAsia"/>
        </w:rPr>
        <w:t>7.《饮食业油烟排放标准》GB184832001</w:t>
      </w:r>
    </w:p>
    <w:p w14:paraId="7659BD15">
      <w:pPr>
        <w:spacing w:line="360" w:lineRule="auto"/>
        <w:rPr>
          <w:rFonts w:hint="eastAsia"/>
        </w:rPr>
      </w:pPr>
      <w:r>
        <w:rPr>
          <w:rFonts w:hint="eastAsia"/>
        </w:rPr>
        <w:t>8.《建筑施工场界环境噪声排放标准》GB125232011</w:t>
      </w:r>
    </w:p>
    <w:p w14:paraId="408B4EDC">
      <w:pPr>
        <w:spacing w:line="360" w:lineRule="auto"/>
        <w:rPr>
          <w:rFonts w:hint="eastAsia"/>
        </w:rPr>
      </w:pPr>
      <w:r>
        <w:rPr>
          <w:rFonts w:hint="eastAsia"/>
        </w:rPr>
        <w:t>9.《绿色建筑评价标准》GB/T503782019（2024年版）</w:t>
      </w:r>
    </w:p>
    <w:p w14:paraId="6BF552D5">
      <w:pPr>
        <w:spacing w:line="360" w:lineRule="auto"/>
        <w:rPr>
          <w:rFonts w:hint="eastAsia"/>
        </w:rPr>
      </w:pPr>
      <w:r>
        <w:rPr>
          <w:rFonts w:hint="eastAsia"/>
        </w:rPr>
        <w:t>10.本项目环境影响报告书</w:t>
      </w:r>
    </w:p>
    <w:p w14:paraId="79037680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二、场地污染源识别与分析</w:t>
      </w:r>
    </w:p>
    <w:p w14:paraId="3AA313AE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2.1场地基本情况</w:t>
      </w:r>
    </w:p>
    <w:p w14:paraId="60182C92">
      <w:pPr>
        <w:spacing w:line="360" w:lineRule="auto"/>
        <w:rPr>
          <w:rFonts w:hint="eastAsia"/>
        </w:rPr>
      </w:pPr>
      <w:r>
        <w:rPr>
          <w:rFonts w:hint="eastAsia"/>
        </w:rPr>
        <w:t>本项目位于福建南平庙湾，地处武夷山风景名胜区边缘，周边为梯田式茶园，无工业污染源。场地本身在建设和运营过程中可能产生的污染源主要包括：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49"/>
        <w:gridCol w:w="2159"/>
        <w:gridCol w:w="1704"/>
        <w:gridCol w:w="1123"/>
        <w:gridCol w:w="2287"/>
      </w:tblGrid>
      <w:tr w14:paraId="19A1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9" w:type="dxa"/>
            <w:vAlign w:val="center"/>
          </w:tcPr>
          <w:p w14:paraId="3FD5F35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污染源类型</w:t>
            </w:r>
          </w:p>
        </w:tc>
        <w:tc>
          <w:tcPr>
            <w:tcW w:w="2159" w:type="dxa"/>
            <w:vAlign w:val="center"/>
          </w:tcPr>
          <w:p w14:paraId="2248A2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产生环节</w:t>
            </w:r>
          </w:p>
        </w:tc>
        <w:tc>
          <w:tcPr>
            <w:tcW w:w="1704" w:type="dxa"/>
            <w:vAlign w:val="center"/>
          </w:tcPr>
          <w:p w14:paraId="6BF335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主要污染物</w:t>
            </w:r>
          </w:p>
        </w:tc>
        <w:tc>
          <w:tcPr>
            <w:tcW w:w="1123" w:type="dxa"/>
            <w:vAlign w:val="center"/>
          </w:tcPr>
          <w:p w14:paraId="24244C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排放方式</w:t>
            </w:r>
          </w:p>
        </w:tc>
        <w:tc>
          <w:tcPr>
            <w:tcW w:w="2287" w:type="dxa"/>
            <w:vAlign w:val="center"/>
          </w:tcPr>
          <w:p w14:paraId="029A6C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控制措施</w:t>
            </w:r>
          </w:p>
        </w:tc>
      </w:tr>
      <w:tr w14:paraId="5543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9" w:type="dxa"/>
            <w:vAlign w:val="center"/>
          </w:tcPr>
          <w:p w14:paraId="107C4D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生活污水</w:t>
            </w:r>
          </w:p>
        </w:tc>
        <w:tc>
          <w:tcPr>
            <w:tcW w:w="2159" w:type="dxa"/>
            <w:vAlign w:val="center"/>
          </w:tcPr>
          <w:p w14:paraId="1C69B2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客房、厨房、卫生间</w:t>
            </w:r>
          </w:p>
        </w:tc>
        <w:tc>
          <w:tcPr>
            <w:tcW w:w="1704" w:type="dxa"/>
            <w:vAlign w:val="center"/>
          </w:tcPr>
          <w:p w14:paraId="313167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COD、BOD、SS、氨氮、动植物油</w:t>
            </w:r>
          </w:p>
        </w:tc>
        <w:tc>
          <w:tcPr>
            <w:tcW w:w="1123" w:type="dxa"/>
            <w:vAlign w:val="center"/>
          </w:tcPr>
          <w:p w14:paraId="3593F5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有组织排放</w:t>
            </w:r>
          </w:p>
        </w:tc>
        <w:tc>
          <w:tcPr>
            <w:tcW w:w="2287" w:type="dxa"/>
            <w:vAlign w:val="center"/>
          </w:tcPr>
          <w:p w14:paraId="75FDD3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化粪池+隔油池预处理后接入市政管网</w:t>
            </w:r>
          </w:p>
        </w:tc>
      </w:tr>
      <w:tr w14:paraId="7858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9" w:type="dxa"/>
            <w:vAlign w:val="center"/>
          </w:tcPr>
          <w:p w14:paraId="70BAF7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餐饮油烟</w:t>
            </w:r>
          </w:p>
        </w:tc>
        <w:tc>
          <w:tcPr>
            <w:tcW w:w="2159" w:type="dxa"/>
            <w:vAlign w:val="center"/>
          </w:tcPr>
          <w:p w14:paraId="74E1BC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云间食肆厨房</w:t>
            </w:r>
          </w:p>
        </w:tc>
        <w:tc>
          <w:tcPr>
            <w:tcW w:w="1704" w:type="dxa"/>
            <w:vAlign w:val="center"/>
          </w:tcPr>
          <w:p w14:paraId="3FF275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油烟、非甲烷总烃</w:t>
            </w:r>
          </w:p>
        </w:tc>
        <w:tc>
          <w:tcPr>
            <w:tcW w:w="1123" w:type="dxa"/>
            <w:vAlign w:val="center"/>
          </w:tcPr>
          <w:p w14:paraId="21F2F6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有组织排放</w:t>
            </w:r>
          </w:p>
        </w:tc>
        <w:tc>
          <w:tcPr>
            <w:tcW w:w="2287" w:type="dxa"/>
            <w:vAlign w:val="center"/>
          </w:tcPr>
          <w:p w14:paraId="3F0193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油烟净化器处理后高空排放</w:t>
            </w:r>
          </w:p>
        </w:tc>
      </w:tr>
      <w:tr w14:paraId="447D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9" w:type="dxa"/>
            <w:vAlign w:val="center"/>
          </w:tcPr>
          <w:p w14:paraId="6C13E4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机动车尾气</w:t>
            </w:r>
          </w:p>
        </w:tc>
        <w:tc>
          <w:tcPr>
            <w:tcW w:w="2159" w:type="dxa"/>
            <w:vAlign w:val="center"/>
          </w:tcPr>
          <w:p w14:paraId="7B15A9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停车场车辆进出</w:t>
            </w:r>
          </w:p>
        </w:tc>
        <w:tc>
          <w:tcPr>
            <w:tcW w:w="1704" w:type="dxa"/>
            <w:vAlign w:val="center"/>
          </w:tcPr>
          <w:p w14:paraId="55FF78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CO、HC、NOx</w:t>
            </w:r>
          </w:p>
        </w:tc>
        <w:tc>
          <w:tcPr>
            <w:tcW w:w="1123" w:type="dxa"/>
            <w:vAlign w:val="center"/>
          </w:tcPr>
          <w:p w14:paraId="6340FE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无组织排放</w:t>
            </w:r>
          </w:p>
        </w:tc>
        <w:tc>
          <w:tcPr>
            <w:tcW w:w="2287" w:type="dxa"/>
            <w:vAlign w:val="center"/>
          </w:tcPr>
          <w:p w14:paraId="3A36B3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绿化隔离、自然扩散</w:t>
            </w:r>
          </w:p>
        </w:tc>
      </w:tr>
      <w:tr w14:paraId="3586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9" w:type="dxa"/>
            <w:vAlign w:val="center"/>
          </w:tcPr>
          <w:p w14:paraId="378F5EC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固体废弃物</w:t>
            </w:r>
          </w:p>
        </w:tc>
        <w:tc>
          <w:tcPr>
            <w:tcW w:w="2159" w:type="dxa"/>
            <w:vAlign w:val="center"/>
          </w:tcPr>
          <w:p w14:paraId="44BC44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客房、厨房、公共区域</w:t>
            </w:r>
          </w:p>
        </w:tc>
        <w:tc>
          <w:tcPr>
            <w:tcW w:w="1704" w:type="dxa"/>
            <w:vAlign w:val="center"/>
          </w:tcPr>
          <w:p w14:paraId="4EF524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生活垃圾、餐厨垃圾</w:t>
            </w:r>
          </w:p>
        </w:tc>
        <w:tc>
          <w:tcPr>
            <w:tcW w:w="1123" w:type="dxa"/>
            <w:vAlign w:val="center"/>
          </w:tcPr>
          <w:p w14:paraId="46936E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分类收集</w:t>
            </w:r>
          </w:p>
        </w:tc>
        <w:tc>
          <w:tcPr>
            <w:tcW w:w="2287" w:type="dxa"/>
            <w:vAlign w:val="center"/>
          </w:tcPr>
          <w:p w14:paraId="4435EA8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分类容器、日产日清</w:t>
            </w:r>
          </w:p>
        </w:tc>
      </w:tr>
      <w:tr w14:paraId="4CA0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9" w:type="dxa"/>
            <w:vAlign w:val="center"/>
          </w:tcPr>
          <w:p w14:paraId="098D83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噪声</w:t>
            </w:r>
          </w:p>
        </w:tc>
        <w:tc>
          <w:tcPr>
            <w:tcW w:w="2159" w:type="dxa"/>
            <w:vAlign w:val="center"/>
          </w:tcPr>
          <w:p w14:paraId="5CC5BF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空调室外机、水泵、风机</w:t>
            </w:r>
          </w:p>
        </w:tc>
        <w:tc>
          <w:tcPr>
            <w:tcW w:w="1704" w:type="dxa"/>
            <w:vAlign w:val="center"/>
          </w:tcPr>
          <w:p w14:paraId="1C76C9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设备噪声</w:t>
            </w:r>
          </w:p>
        </w:tc>
        <w:tc>
          <w:tcPr>
            <w:tcW w:w="1123" w:type="dxa"/>
            <w:vAlign w:val="center"/>
          </w:tcPr>
          <w:p w14:paraId="0941E1A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连续排放</w:t>
            </w:r>
          </w:p>
        </w:tc>
        <w:tc>
          <w:tcPr>
            <w:tcW w:w="2287" w:type="dxa"/>
            <w:vAlign w:val="center"/>
          </w:tcPr>
          <w:p w14:paraId="7E1071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隔声、减振、绿化降噪</w:t>
            </w:r>
          </w:p>
        </w:tc>
      </w:tr>
      <w:tr w14:paraId="323D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9" w:type="dxa"/>
            <w:vAlign w:val="center"/>
          </w:tcPr>
          <w:p w14:paraId="71AD6F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光污染</w:t>
            </w:r>
          </w:p>
        </w:tc>
        <w:tc>
          <w:tcPr>
            <w:tcW w:w="2159" w:type="dxa"/>
            <w:vAlign w:val="center"/>
          </w:tcPr>
          <w:p w14:paraId="6784279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夜间照明</w:t>
            </w:r>
          </w:p>
        </w:tc>
        <w:tc>
          <w:tcPr>
            <w:tcW w:w="1704" w:type="dxa"/>
            <w:vAlign w:val="center"/>
          </w:tcPr>
          <w:p w14:paraId="5948E6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眩光、光溢散</w:t>
            </w:r>
          </w:p>
        </w:tc>
        <w:tc>
          <w:tcPr>
            <w:tcW w:w="1123" w:type="dxa"/>
            <w:vAlign w:val="center"/>
          </w:tcPr>
          <w:p w14:paraId="794481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夜间间歇</w:t>
            </w:r>
          </w:p>
        </w:tc>
        <w:tc>
          <w:tcPr>
            <w:tcW w:w="2287" w:type="dxa"/>
            <w:vAlign w:val="center"/>
          </w:tcPr>
          <w:p w14:paraId="649D54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灯具遮光、低色温、智能控制</w:t>
            </w:r>
          </w:p>
        </w:tc>
      </w:tr>
    </w:tbl>
    <w:p w14:paraId="182F6CC9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2.2场地内污染源检测结果</w:t>
      </w:r>
    </w:p>
    <w:p w14:paraId="2139E4BE">
      <w:pPr>
        <w:spacing w:line="360" w:lineRule="auto"/>
        <w:rPr>
          <w:rFonts w:hint="eastAsia"/>
        </w:rPr>
      </w:pPr>
      <w:r>
        <w:rPr>
          <w:rFonts w:hint="eastAsia"/>
        </w:rPr>
        <w:t>依据《室外噪声模拟分析报告》及相关环境检测数据，本项目场地内各项污染物排放指标如下：</w:t>
      </w:r>
    </w:p>
    <w:p w14:paraId="51509883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2.2.1大气环境质量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E16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3A6AF6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监测点位</w:t>
            </w:r>
          </w:p>
        </w:tc>
        <w:tc>
          <w:tcPr>
            <w:tcW w:w="1704" w:type="dxa"/>
            <w:vAlign w:val="center"/>
          </w:tcPr>
          <w:p w14:paraId="21226C6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监测项目</w:t>
            </w:r>
          </w:p>
        </w:tc>
        <w:tc>
          <w:tcPr>
            <w:tcW w:w="1704" w:type="dxa"/>
            <w:vAlign w:val="center"/>
          </w:tcPr>
          <w:p w14:paraId="44FB93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监测结果（mg/m³）</w:t>
            </w:r>
          </w:p>
        </w:tc>
        <w:tc>
          <w:tcPr>
            <w:tcW w:w="1705" w:type="dxa"/>
            <w:vAlign w:val="center"/>
          </w:tcPr>
          <w:p w14:paraId="53C1B1E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标准限值（mg/m³）</w:t>
            </w:r>
          </w:p>
        </w:tc>
        <w:tc>
          <w:tcPr>
            <w:tcW w:w="1705" w:type="dxa"/>
            <w:vAlign w:val="center"/>
          </w:tcPr>
          <w:p w14:paraId="55736A9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达标情况</w:t>
            </w:r>
          </w:p>
        </w:tc>
      </w:tr>
      <w:tr w14:paraId="2E26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7AAA8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场地中心</w:t>
            </w:r>
          </w:p>
        </w:tc>
        <w:tc>
          <w:tcPr>
            <w:tcW w:w="1704" w:type="dxa"/>
            <w:vAlign w:val="center"/>
          </w:tcPr>
          <w:p w14:paraId="4A3FB6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SO₂（日均）</w:t>
            </w:r>
          </w:p>
        </w:tc>
        <w:tc>
          <w:tcPr>
            <w:tcW w:w="1704" w:type="dxa"/>
            <w:vAlign w:val="center"/>
          </w:tcPr>
          <w:p w14:paraId="6E259E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0.012</w:t>
            </w:r>
          </w:p>
        </w:tc>
        <w:tc>
          <w:tcPr>
            <w:tcW w:w="1705" w:type="dxa"/>
            <w:vAlign w:val="center"/>
          </w:tcPr>
          <w:p w14:paraId="1B18DDA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0.15</w:t>
            </w:r>
          </w:p>
        </w:tc>
        <w:tc>
          <w:tcPr>
            <w:tcW w:w="1705" w:type="dxa"/>
            <w:vAlign w:val="center"/>
          </w:tcPr>
          <w:p w14:paraId="323DD0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3182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D2DB3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场地中心</w:t>
            </w:r>
          </w:p>
        </w:tc>
        <w:tc>
          <w:tcPr>
            <w:tcW w:w="1704" w:type="dxa"/>
            <w:vAlign w:val="center"/>
          </w:tcPr>
          <w:p w14:paraId="6DD1A8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NO₂（日均）</w:t>
            </w:r>
          </w:p>
        </w:tc>
        <w:tc>
          <w:tcPr>
            <w:tcW w:w="1704" w:type="dxa"/>
            <w:vAlign w:val="center"/>
          </w:tcPr>
          <w:p w14:paraId="7206AF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0.024</w:t>
            </w:r>
          </w:p>
        </w:tc>
        <w:tc>
          <w:tcPr>
            <w:tcW w:w="1705" w:type="dxa"/>
            <w:vAlign w:val="center"/>
          </w:tcPr>
          <w:p w14:paraId="637EA6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0.08</w:t>
            </w:r>
          </w:p>
        </w:tc>
        <w:tc>
          <w:tcPr>
            <w:tcW w:w="1705" w:type="dxa"/>
            <w:vAlign w:val="center"/>
          </w:tcPr>
          <w:p w14:paraId="3E9AF90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3957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AE9B31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场地中心</w:t>
            </w:r>
          </w:p>
        </w:tc>
        <w:tc>
          <w:tcPr>
            <w:tcW w:w="1704" w:type="dxa"/>
            <w:vAlign w:val="center"/>
          </w:tcPr>
          <w:p w14:paraId="39D8BAE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PM10（日均）</w:t>
            </w:r>
          </w:p>
        </w:tc>
        <w:tc>
          <w:tcPr>
            <w:tcW w:w="1704" w:type="dxa"/>
            <w:vAlign w:val="center"/>
          </w:tcPr>
          <w:p w14:paraId="408A0D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0.045</w:t>
            </w:r>
          </w:p>
        </w:tc>
        <w:tc>
          <w:tcPr>
            <w:tcW w:w="1705" w:type="dxa"/>
            <w:vAlign w:val="center"/>
          </w:tcPr>
          <w:p w14:paraId="1E7611D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0.15</w:t>
            </w:r>
          </w:p>
        </w:tc>
        <w:tc>
          <w:tcPr>
            <w:tcW w:w="1705" w:type="dxa"/>
            <w:vAlign w:val="center"/>
          </w:tcPr>
          <w:p w14:paraId="1C0627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30CB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D4B18D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场地中心</w:t>
            </w:r>
          </w:p>
        </w:tc>
        <w:tc>
          <w:tcPr>
            <w:tcW w:w="1704" w:type="dxa"/>
            <w:vAlign w:val="center"/>
          </w:tcPr>
          <w:p w14:paraId="049166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PM2.5（日均）</w:t>
            </w:r>
          </w:p>
        </w:tc>
        <w:tc>
          <w:tcPr>
            <w:tcW w:w="1704" w:type="dxa"/>
            <w:vAlign w:val="center"/>
          </w:tcPr>
          <w:p w14:paraId="0FB42B4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0.028</w:t>
            </w:r>
          </w:p>
        </w:tc>
        <w:tc>
          <w:tcPr>
            <w:tcW w:w="1705" w:type="dxa"/>
            <w:vAlign w:val="center"/>
          </w:tcPr>
          <w:p w14:paraId="143F80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0.075</w:t>
            </w:r>
          </w:p>
        </w:tc>
        <w:tc>
          <w:tcPr>
            <w:tcW w:w="1705" w:type="dxa"/>
            <w:vAlign w:val="center"/>
          </w:tcPr>
          <w:p w14:paraId="244ABB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52C0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C976C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厨房排烟口</w:t>
            </w:r>
          </w:p>
        </w:tc>
        <w:tc>
          <w:tcPr>
            <w:tcW w:w="1704" w:type="dxa"/>
            <w:vAlign w:val="center"/>
          </w:tcPr>
          <w:p w14:paraId="7593D8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油烟浓度</w:t>
            </w:r>
          </w:p>
        </w:tc>
        <w:tc>
          <w:tcPr>
            <w:tcW w:w="1704" w:type="dxa"/>
            <w:vAlign w:val="center"/>
          </w:tcPr>
          <w:p w14:paraId="4377AC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1.2</w:t>
            </w:r>
          </w:p>
        </w:tc>
        <w:tc>
          <w:tcPr>
            <w:tcW w:w="1705" w:type="dxa"/>
            <w:vAlign w:val="center"/>
          </w:tcPr>
          <w:p w14:paraId="325166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2.0</w:t>
            </w:r>
          </w:p>
        </w:tc>
        <w:tc>
          <w:tcPr>
            <w:tcW w:w="1705" w:type="dxa"/>
            <w:vAlign w:val="center"/>
          </w:tcPr>
          <w:p w14:paraId="181584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31D1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9461C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厨房排烟口</w:t>
            </w:r>
          </w:p>
        </w:tc>
        <w:tc>
          <w:tcPr>
            <w:tcW w:w="1704" w:type="dxa"/>
            <w:vAlign w:val="center"/>
          </w:tcPr>
          <w:p w14:paraId="69408F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非甲烷总烃</w:t>
            </w:r>
          </w:p>
        </w:tc>
        <w:tc>
          <w:tcPr>
            <w:tcW w:w="1704" w:type="dxa"/>
            <w:vAlign w:val="center"/>
          </w:tcPr>
          <w:p w14:paraId="5E40A3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8.5</w:t>
            </w:r>
          </w:p>
        </w:tc>
        <w:tc>
          <w:tcPr>
            <w:tcW w:w="1705" w:type="dxa"/>
            <w:vAlign w:val="center"/>
          </w:tcPr>
          <w:p w14:paraId="291F14D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10.0</w:t>
            </w:r>
          </w:p>
        </w:tc>
        <w:tc>
          <w:tcPr>
            <w:tcW w:w="1705" w:type="dxa"/>
            <w:vAlign w:val="center"/>
          </w:tcPr>
          <w:p w14:paraId="258A4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</w:tbl>
    <w:p w14:paraId="57A86205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2.2.2水环境质量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995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66A82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监测点位</w:t>
            </w:r>
          </w:p>
        </w:tc>
        <w:tc>
          <w:tcPr>
            <w:tcW w:w="1704" w:type="dxa"/>
            <w:vAlign w:val="center"/>
          </w:tcPr>
          <w:p w14:paraId="613B9A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监测项目</w:t>
            </w:r>
          </w:p>
        </w:tc>
        <w:tc>
          <w:tcPr>
            <w:tcW w:w="1704" w:type="dxa"/>
            <w:vAlign w:val="center"/>
          </w:tcPr>
          <w:p w14:paraId="15D17A7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监测结果（mg/L）</w:t>
            </w:r>
          </w:p>
        </w:tc>
        <w:tc>
          <w:tcPr>
            <w:tcW w:w="1705" w:type="dxa"/>
            <w:vAlign w:val="center"/>
          </w:tcPr>
          <w:p w14:paraId="1DCA7E2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标准限值（mg/L）</w:t>
            </w:r>
          </w:p>
        </w:tc>
        <w:tc>
          <w:tcPr>
            <w:tcW w:w="1705" w:type="dxa"/>
            <w:vAlign w:val="center"/>
          </w:tcPr>
          <w:p w14:paraId="5C4D59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达标情况</w:t>
            </w:r>
          </w:p>
        </w:tc>
      </w:tr>
      <w:tr w14:paraId="2DDE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8FD1C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污水总排口</w:t>
            </w:r>
          </w:p>
        </w:tc>
        <w:tc>
          <w:tcPr>
            <w:tcW w:w="1704" w:type="dxa"/>
            <w:vAlign w:val="center"/>
          </w:tcPr>
          <w:p w14:paraId="41D284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pH</w:t>
            </w:r>
          </w:p>
        </w:tc>
        <w:tc>
          <w:tcPr>
            <w:tcW w:w="1704" w:type="dxa"/>
            <w:vAlign w:val="center"/>
          </w:tcPr>
          <w:p w14:paraId="7A012E1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7.2</w:t>
            </w:r>
          </w:p>
        </w:tc>
        <w:tc>
          <w:tcPr>
            <w:tcW w:w="1705" w:type="dxa"/>
            <w:vAlign w:val="center"/>
          </w:tcPr>
          <w:p w14:paraId="5B7906C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6-9</w:t>
            </w:r>
          </w:p>
        </w:tc>
        <w:tc>
          <w:tcPr>
            <w:tcW w:w="1705" w:type="dxa"/>
            <w:vAlign w:val="center"/>
          </w:tcPr>
          <w:p w14:paraId="76BC51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2EED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F9909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污水总排口</w:t>
            </w:r>
          </w:p>
        </w:tc>
        <w:tc>
          <w:tcPr>
            <w:tcW w:w="1704" w:type="dxa"/>
            <w:vAlign w:val="center"/>
          </w:tcPr>
          <w:p w14:paraId="550CCA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COD</w:t>
            </w:r>
          </w:p>
        </w:tc>
        <w:tc>
          <w:tcPr>
            <w:tcW w:w="1704" w:type="dxa"/>
            <w:vAlign w:val="center"/>
          </w:tcPr>
          <w:p w14:paraId="76EFE2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1705" w:type="dxa"/>
            <w:vAlign w:val="center"/>
          </w:tcPr>
          <w:p w14:paraId="33FE2B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1705" w:type="dxa"/>
            <w:vAlign w:val="center"/>
          </w:tcPr>
          <w:p w14:paraId="3CE240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7EC0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227E04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污水总排口</w:t>
            </w:r>
          </w:p>
        </w:tc>
        <w:tc>
          <w:tcPr>
            <w:tcW w:w="1704" w:type="dxa"/>
            <w:vAlign w:val="center"/>
          </w:tcPr>
          <w:p w14:paraId="4DAC98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BOD₅</w:t>
            </w:r>
          </w:p>
        </w:tc>
        <w:tc>
          <w:tcPr>
            <w:tcW w:w="1704" w:type="dxa"/>
            <w:vAlign w:val="center"/>
          </w:tcPr>
          <w:p w14:paraId="3B957B0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705" w:type="dxa"/>
            <w:vAlign w:val="center"/>
          </w:tcPr>
          <w:p w14:paraId="696E86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1705" w:type="dxa"/>
            <w:vAlign w:val="center"/>
          </w:tcPr>
          <w:p w14:paraId="2B893AA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6090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AA6C03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污水总排口</w:t>
            </w:r>
          </w:p>
        </w:tc>
        <w:tc>
          <w:tcPr>
            <w:tcW w:w="1704" w:type="dxa"/>
            <w:vAlign w:val="center"/>
          </w:tcPr>
          <w:p w14:paraId="07AA25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SS</w:t>
            </w:r>
          </w:p>
        </w:tc>
        <w:tc>
          <w:tcPr>
            <w:tcW w:w="1704" w:type="dxa"/>
            <w:vAlign w:val="center"/>
          </w:tcPr>
          <w:p w14:paraId="34DF18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1705" w:type="dxa"/>
            <w:vAlign w:val="center"/>
          </w:tcPr>
          <w:p w14:paraId="727F97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1705" w:type="dxa"/>
            <w:vAlign w:val="center"/>
          </w:tcPr>
          <w:p w14:paraId="01BEEA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2625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BCF0A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污水总排口</w:t>
            </w:r>
          </w:p>
        </w:tc>
        <w:tc>
          <w:tcPr>
            <w:tcW w:w="1704" w:type="dxa"/>
            <w:vAlign w:val="center"/>
          </w:tcPr>
          <w:p w14:paraId="7F2C84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氨氮</w:t>
            </w:r>
          </w:p>
        </w:tc>
        <w:tc>
          <w:tcPr>
            <w:tcW w:w="1704" w:type="dxa"/>
            <w:vAlign w:val="center"/>
          </w:tcPr>
          <w:p w14:paraId="109AB4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705" w:type="dxa"/>
            <w:vAlign w:val="center"/>
          </w:tcPr>
          <w:p w14:paraId="11A84C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705" w:type="dxa"/>
            <w:vAlign w:val="center"/>
          </w:tcPr>
          <w:p w14:paraId="0310B4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1240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3BE891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污水总排口</w:t>
            </w:r>
          </w:p>
        </w:tc>
        <w:tc>
          <w:tcPr>
            <w:tcW w:w="1704" w:type="dxa"/>
            <w:vAlign w:val="center"/>
          </w:tcPr>
          <w:p w14:paraId="7781E3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动植物油</w:t>
            </w:r>
          </w:p>
        </w:tc>
        <w:tc>
          <w:tcPr>
            <w:tcW w:w="1704" w:type="dxa"/>
            <w:vAlign w:val="center"/>
          </w:tcPr>
          <w:p w14:paraId="238337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705" w:type="dxa"/>
            <w:vAlign w:val="center"/>
          </w:tcPr>
          <w:p w14:paraId="3E1A6A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705" w:type="dxa"/>
            <w:vAlign w:val="center"/>
          </w:tcPr>
          <w:p w14:paraId="6A5344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</w:tbl>
    <w:p w14:paraId="063DB87E">
      <w:pPr>
        <w:spacing w:line="360" w:lineRule="auto"/>
        <w:rPr>
          <w:rFonts w:hint="eastAsia"/>
        </w:rPr>
      </w:pPr>
      <w:r>
        <w:rPr>
          <w:rFonts w:hint="eastAsia"/>
        </w:rPr>
        <w:t>2.2.3声环境质量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B0A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DD937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监测点位</w:t>
            </w:r>
          </w:p>
        </w:tc>
        <w:tc>
          <w:tcPr>
            <w:tcW w:w="1704" w:type="dxa"/>
            <w:vAlign w:val="center"/>
          </w:tcPr>
          <w:p w14:paraId="456FF2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监测时段</w:t>
            </w:r>
          </w:p>
        </w:tc>
        <w:tc>
          <w:tcPr>
            <w:tcW w:w="1704" w:type="dxa"/>
            <w:vAlign w:val="center"/>
          </w:tcPr>
          <w:p w14:paraId="14FEE4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监测结果[dB(A)]</w:t>
            </w:r>
          </w:p>
        </w:tc>
        <w:tc>
          <w:tcPr>
            <w:tcW w:w="1705" w:type="dxa"/>
            <w:vAlign w:val="center"/>
          </w:tcPr>
          <w:p w14:paraId="167498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标准限值[dB(A)]</w:t>
            </w:r>
          </w:p>
        </w:tc>
        <w:tc>
          <w:tcPr>
            <w:tcW w:w="1705" w:type="dxa"/>
            <w:vAlign w:val="center"/>
          </w:tcPr>
          <w:p w14:paraId="6FF30D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达标情况</w:t>
            </w:r>
          </w:p>
        </w:tc>
      </w:tr>
      <w:tr w14:paraId="5EEF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31B2B4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场地东侧边界</w:t>
            </w:r>
          </w:p>
        </w:tc>
        <w:tc>
          <w:tcPr>
            <w:tcW w:w="1704" w:type="dxa"/>
            <w:vAlign w:val="center"/>
          </w:tcPr>
          <w:p w14:paraId="04DE9E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昼间</w:t>
            </w:r>
          </w:p>
        </w:tc>
        <w:tc>
          <w:tcPr>
            <w:tcW w:w="1704" w:type="dxa"/>
            <w:vAlign w:val="center"/>
          </w:tcPr>
          <w:p w14:paraId="61C625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1705" w:type="dxa"/>
            <w:vAlign w:val="center"/>
          </w:tcPr>
          <w:p w14:paraId="2F5363C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705" w:type="dxa"/>
            <w:vAlign w:val="center"/>
          </w:tcPr>
          <w:p w14:paraId="6CBBED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21FC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134D5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场地东侧边界</w:t>
            </w:r>
          </w:p>
        </w:tc>
        <w:tc>
          <w:tcPr>
            <w:tcW w:w="1704" w:type="dxa"/>
            <w:vAlign w:val="center"/>
          </w:tcPr>
          <w:p w14:paraId="11CEBD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夜间</w:t>
            </w:r>
          </w:p>
        </w:tc>
        <w:tc>
          <w:tcPr>
            <w:tcW w:w="1704" w:type="dxa"/>
            <w:vAlign w:val="center"/>
          </w:tcPr>
          <w:p w14:paraId="6081F2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705" w:type="dxa"/>
            <w:vAlign w:val="center"/>
          </w:tcPr>
          <w:p w14:paraId="07DF303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705" w:type="dxa"/>
            <w:vAlign w:val="center"/>
          </w:tcPr>
          <w:p w14:paraId="05DE91E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0BFE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43D95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场地南侧边界</w:t>
            </w:r>
          </w:p>
        </w:tc>
        <w:tc>
          <w:tcPr>
            <w:tcW w:w="1704" w:type="dxa"/>
            <w:vAlign w:val="center"/>
          </w:tcPr>
          <w:p w14:paraId="150452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昼间</w:t>
            </w:r>
          </w:p>
        </w:tc>
        <w:tc>
          <w:tcPr>
            <w:tcW w:w="1704" w:type="dxa"/>
            <w:vAlign w:val="center"/>
          </w:tcPr>
          <w:p w14:paraId="6ABB87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705" w:type="dxa"/>
            <w:vAlign w:val="center"/>
          </w:tcPr>
          <w:p w14:paraId="0B3F27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705" w:type="dxa"/>
            <w:vAlign w:val="center"/>
          </w:tcPr>
          <w:p w14:paraId="2255DA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2BBD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E9B48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场地南侧边界</w:t>
            </w:r>
          </w:p>
        </w:tc>
        <w:tc>
          <w:tcPr>
            <w:tcW w:w="1704" w:type="dxa"/>
            <w:vAlign w:val="center"/>
          </w:tcPr>
          <w:p w14:paraId="4ED725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夜间</w:t>
            </w:r>
          </w:p>
        </w:tc>
        <w:tc>
          <w:tcPr>
            <w:tcW w:w="1704" w:type="dxa"/>
            <w:vAlign w:val="center"/>
          </w:tcPr>
          <w:p w14:paraId="2788C23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705" w:type="dxa"/>
            <w:vAlign w:val="center"/>
          </w:tcPr>
          <w:p w14:paraId="7E6E73D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705" w:type="dxa"/>
            <w:vAlign w:val="center"/>
          </w:tcPr>
          <w:p w14:paraId="60609A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45F7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D4867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场地西侧边界</w:t>
            </w:r>
          </w:p>
        </w:tc>
        <w:tc>
          <w:tcPr>
            <w:tcW w:w="1704" w:type="dxa"/>
            <w:vAlign w:val="center"/>
          </w:tcPr>
          <w:p w14:paraId="346CE8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昼间</w:t>
            </w:r>
          </w:p>
        </w:tc>
        <w:tc>
          <w:tcPr>
            <w:tcW w:w="1704" w:type="dxa"/>
            <w:vAlign w:val="center"/>
          </w:tcPr>
          <w:p w14:paraId="5786D4B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705" w:type="dxa"/>
            <w:vAlign w:val="center"/>
          </w:tcPr>
          <w:p w14:paraId="214C45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705" w:type="dxa"/>
            <w:vAlign w:val="center"/>
          </w:tcPr>
          <w:p w14:paraId="2E4EC60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3D65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B54012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场地西侧边界</w:t>
            </w:r>
          </w:p>
        </w:tc>
        <w:tc>
          <w:tcPr>
            <w:tcW w:w="1704" w:type="dxa"/>
            <w:vAlign w:val="center"/>
          </w:tcPr>
          <w:p w14:paraId="099E53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夜间</w:t>
            </w:r>
          </w:p>
        </w:tc>
        <w:tc>
          <w:tcPr>
            <w:tcW w:w="1704" w:type="dxa"/>
            <w:vAlign w:val="center"/>
          </w:tcPr>
          <w:p w14:paraId="44F223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705" w:type="dxa"/>
            <w:vAlign w:val="center"/>
          </w:tcPr>
          <w:p w14:paraId="486B32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705" w:type="dxa"/>
            <w:vAlign w:val="center"/>
          </w:tcPr>
          <w:p w14:paraId="380FB2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45E4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7D274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场地北侧边界</w:t>
            </w:r>
          </w:p>
        </w:tc>
        <w:tc>
          <w:tcPr>
            <w:tcW w:w="1704" w:type="dxa"/>
            <w:vAlign w:val="center"/>
          </w:tcPr>
          <w:p w14:paraId="4329A8C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昼间</w:t>
            </w:r>
          </w:p>
        </w:tc>
        <w:tc>
          <w:tcPr>
            <w:tcW w:w="1704" w:type="dxa"/>
            <w:vAlign w:val="center"/>
          </w:tcPr>
          <w:p w14:paraId="0C7839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705" w:type="dxa"/>
            <w:vAlign w:val="center"/>
          </w:tcPr>
          <w:p w14:paraId="5102160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705" w:type="dxa"/>
            <w:vAlign w:val="center"/>
          </w:tcPr>
          <w:p w14:paraId="6C9ED0A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314D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ECE907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场地北侧边界</w:t>
            </w:r>
          </w:p>
        </w:tc>
        <w:tc>
          <w:tcPr>
            <w:tcW w:w="1704" w:type="dxa"/>
            <w:vAlign w:val="center"/>
          </w:tcPr>
          <w:p w14:paraId="0C6315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夜间</w:t>
            </w:r>
          </w:p>
        </w:tc>
        <w:tc>
          <w:tcPr>
            <w:tcW w:w="1704" w:type="dxa"/>
            <w:vAlign w:val="center"/>
          </w:tcPr>
          <w:p w14:paraId="739B74A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705" w:type="dxa"/>
            <w:vAlign w:val="center"/>
          </w:tcPr>
          <w:p w14:paraId="332A3C9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705" w:type="dxa"/>
            <w:vAlign w:val="center"/>
          </w:tcPr>
          <w:p w14:paraId="4E729A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22A5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C5982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最近敏感建筑</w:t>
            </w:r>
          </w:p>
        </w:tc>
        <w:tc>
          <w:tcPr>
            <w:tcW w:w="1704" w:type="dxa"/>
            <w:vAlign w:val="center"/>
          </w:tcPr>
          <w:p w14:paraId="3594531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昼间</w:t>
            </w:r>
          </w:p>
        </w:tc>
        <w:tc>
          <w:tcPr>
            <w:tcW w:w="1704" w:type="dxa"/>
            <w:vAlign w:val="center"/>
          </w:tcPr>
          <w:p w14:paraId="163FAA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705" w:type="dxa"/>
            <w:vAlign w:val="center"/>
          </w:tcPr>
          <w:p w14:paraId="10D256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705" w:type="dxa"/>
            <w:vAlign w:val="center"/>
          </w:tcPr>
          <w:p w14:paraId="39BEBB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7569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431B1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最近敏感建筑</w:t>
            </w:r>
          </w:p>
        </w:tc>
        <w:tc>
          <w:tcPr>
            <w:tcW w:w="1704" w:type="dxa"/>
            <w:vAlign w:val="center"/>
          </w:tcPr>
          <w:p w14:paraId="6FDB38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夜间</w:t>
            </w:r>
          </w:p>
        </w:tc>
        <w:tc>
          <w:tcPr>
            <w:tcW w:w="1704" w:type="dxa"/>
            <w:vAlign w:val="center"/>
          </w:tcPr>
          <w:p w14:paraId="2C49BC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705" w:type="dxa"/>
            <w:vAlign w:val="center"/>
          </w:tcPr>
          <w:p w14:paraId="67352D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705" w:type="dxa"/>
            <w:vAlign w:val="center"/>
          </w:tcPr>
          <w:p w14:paraId="18D30B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</w:tbl>
    <w:p w14:paraId="7E02845F">
      <w:pPr>
        <w:spacing w:line="360" w:lineRule="auto"/>
        <w:rPr>
          <w:rFonts w:hint="eastAsia"/>
        </w:rPr>
      </w:pPr>
      <w:r>
        <w:rPr>
          <w:rFonts w:hint="eastAsia"/>
        </w:rPr>
        <w:t>2.2.4固体废弃物产生与处理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33"/>
        <w:gridCol w:w="1467"/>
        <w:gridCol w:w="2693"/>
        <w:gridCol w:w="1424"/>
        <w:gridCol w:w="1705"/>
      </w:tblGrid>
      <w:tr w14:paraId="56B0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33" w:type="dxa"/>
            <w:vAlign w:val="center"/>
          </w:tcPr>
          <w:p w14:paraId="71BDBC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废弃物类型</w:t>
            </w:r>
          </w:p>
        </w:tc>
        <w:tc>
          <w:tcPr>
            <w:tcW w:w="1467" w:type="dxa"/>
            <w:vAlign w:val="center"/>
          </w:tcPr>
          <w:p w14:paraId="31AA4C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产生量（kg/d）</w:t>
            </w:r>
          </w:p>
        </w:tc>
        <w:tc>
          <w:tcPr>
            <w:tcW w:w="2693" w:type="dxa"/>
            <w:vAlign w:val="center"/>
          </w:tcPr>
          <w:p w14:paraId="0CF6F2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处理方式</w:t>
            </w:r>
          </w:p>
        </w:tc>
        <w:tc>
          <w:tcPr>
            <w:tcW w:w="1424" w:type="dxa"/>
            <w:vAlign w:val="center"/>
          </w:tcPr>
          <w:p w14:paraId="554657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处理率（%）</w:t>
            </w:r>
          </w:p>
        </w:tc>
        <w:tc>
          <w:tcPr>
            <w:tcW w:w="1705" w:type="dxa"/>
            <w:vAlign w:val="center"/>
          </w:tcPr>
          <w:p w14:paraId="381D17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达标情况</w:t>
            </w:r>
          </w:p>
        </w:tc>
      </w:tr>
      <w:tr w14:paraId="3DCC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33" w:type="dxa"/>
            <w:vAlign w:val="center"/>
          </w:tcPr>
          <w:p w14:paraId="0D4A1A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可回收物</w:t>
            </w:r>
          </w:p>
        </w:tc>
        <w:tc>
          <w:tcPr>
            <w:tcW w:w="1467" w:type="dxa"/>
            <w:vAlign w:val="center"/>
          </w:tcPr>
          <w:p w14:paraId="0F5B0D9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2693" w:type="dxa"/>
            <w:vAlign w:val="center"/>
          </w:tcPr>
          <w:p w14:paraId="759AD1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分类回收，交由再生资源公司</w:t>
            </w:r>
          </w:p>
        </w:tc>
        <w:tc>
          <w:tcPr>
            <w:tcW w:w="1424" w:type="dxa"/>
            <w:vAlign w:val="center"/>
          </w:tcPr>
          <w:p w14:paraId="1B29DA8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705" w:type="dxa"/>
            <w:vAlign w:val="center"/>
          </w:tcPr>
          <w:p w14:paraId="55EEAC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78F7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33" w:type="dxa"/>
            <w:vAlign w:val="center"/>
          </w:tcPr>
          <w:p w14:paraId="455423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厨余垃圾</w:t>
            </w:r>
          </w:p>
        </w:tc>
        <w:tc>
          <w:tcPr>
            <w:tcW w:w="1467" w:type="dxa"/>
            <w:vAlign w:val="center"/>
          </w:tcPr>
          <w:p w14:paraId="452607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2693" w:type="dxa"/>
            <w:vAlign w:val="center"/>
          </w:tcPr>
          <w:p w14:paraId="4EC1A8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交由专业单位资源化处理</w:t>
            </w:r>
          </w:p>
        </w:tc>
        <w:tc>
          <w:tcPr>
            <w:tcW w:w="1424" w:type="dxa"/>
            <w:vAlign w:val="center"/>
          </w:tcPr>
          <w:p w14:paraId="7A75CB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705" w:type="dxa"/>
            <w:vAlign w:val="center"/>
          </w:tcPr>
          <w:p w14:paraId="3D683C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4855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33" w:type="dxa"/>
            <w:vAlign w:val="center"/>
          </w:tcPr>
          <w:p w14:paraId="0114DE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有害垃圾</w:t>
            </w:r>
          </w:p>
        </w:tc>
        <w:tc>
          <w:tcPr>
            <w:tcW w:w="1467" w:type="dxa"/>
            <w:vAlign w:val="center"/>
          </w:tcPr>
          <w:p w14:paraId="0912D9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93" w:type="dxa"/>
            <w:vAlign w:val="center"/>
          </w:tcPr>
          <w:p w14:paraId="445BAC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交由危废处理资质单位处置</w:t>
            </w:r>
          </w:p>
        </w:tc>
        <w:tc>
          <w:tcPr>
            <w:tcW w:w="1424" w:type="dxa"/>
            <w:vAlign w:val="center"/>
          </w:tcPr>
          <w:p w14:paraId="6ED8CD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705" w:type="dxa"/>
            <w:vAlign w:val="center"/>
          </w:tcPr>
          <w:p w14:paraId="3A4E2A0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  <w:tr w14:paraId="73A5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33" w:type="dxa"/>
            <w:vAlign w:val="center"/>
          </w:tcPr>
          <w:p w14:paraId="0ECF10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其他垃圾</w:t>
            </w:r>
          </w:p>
        </w:tc>
        <w:tc>
          <w:tcPr>
            <w:tcW w:w="1467" w:type="dxa"/>
            <w:vAlign w:val="center"/>
          </w:tcPr>
          <w:p w14:paraId="4CAABCD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2693" w:type="dxa"/>
            <w:vAlign w:val="center"/>
          </w:tcPr>
          <w:p w14:paraId="16B0FC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环卫部门清运、焚烧发电</w:t>
            </w:r>
          </w:p>
        </w:tc>
        <w:tc>
          <w:tcPr>
            <w:tcW w:w="1424" w:type="dxa"/>
            <w:vAlign w:val="center"/>
          </w:tcPr>
          <w:p w14:paraId="097D23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705" w:type="dxa"/>
            <w:vAlign w:val="center"/>
          </w:tcPr>
          <w:p w14:paraId="4B2BD8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达标</w:t>
            </w:r>
          </w:p>
        </w:tc>
      </w:tr>
    </w:tbl>
    <w:p w14:paraId="4426161A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三、污染源控制与治理措施</w:t>
      </w:r>
    </w:p>
    <w:p w14:paraId="4A181ACC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3.1水污染控制措施</w:t>
      </w:r>
    </w:p>
    <w:p w14:paraId="71910FBA">
      <w:pPr>
        <w:spacing w:line="360" w:lineRule="auto"/>
        <w:rPr>
          <w:rFonts w:hint="eastAsia"/>
        </w:rPr>
      </w:pPr>
      <w:r>
        <w:rPr>
          <w:rFonts w:hint="eastAsia"/>
        </w:rPr>
        <w:t>1.雨污分流系统：场地内排水采用雨污分流制，雨水经雨水管网收集后汇入市政雨水管网或用于绿化灌溉；污水经预处理后排入市政污水管网。</w:t>
      </w:r>
    </w:p>
    <w:p w14:paraId="78D31396">
      <w:pPr>
        <w:spacing w:line="360" w:lineRule="auto"/>
        <w:rPr>
          <w:rFonts w:hint="eastAsia"/>
        </w:rPr>
      </w:pPr>
      <w:r>
        <w:rPr>
          <w:rFonts w:hint="eastAsia"/>
        </w:rPr>
        <w:t>2.生活污水预处理：</w:t>
      </w:r>
    </w:p>
    <w:p w14:paraId="6ABC5F61">
      <w:pPr>
        <w:spacing w:line="360" w:lineRule="auto"/>
        <w:rPr>
          <w:rFonts w:hint="eastAsia"/>
        </w:rPr>
      </w:pPr>
      <w:r>
        <w:rPr>
          <w:rFonts w:hint="eastAsia"/>
        </w:rPr>
        <w:t>化粪池：钢筋混凝土结构，有效容积50m³，停留时间24h，处理效率COD≥40%、BOD≥50%、SS≥60%</w:t>
      </w:r>
    </w:p>
    <w:p w14:paraId="7C62D29C">
      <w:pPr>
        <w:spacing w:line="360" w:lineRule="auto"/>
        <w:rPr>
          <w:rFonts w:hint="eastAsia"/>
        </w:rPr>
      </w:pPr>
      <w:r>
        <w:rPr>
          <w:rFonts w:hint="eastAsia"/>
        </w:rPr>
        <w:t>隔油池：餐饮厨房设置隔油池，处理能力5m³/h，除油效率≥80%</w:t>
      </w:r>
    </w:p>
    <w:p w14:paraId="7821441E">
      <w:pPr>
        <w:spacing w:line="360" w:lineRule="auto"/>
        <w:rPr>
          <w:rFonts w:hint="eastAsia"/>
        </w:rPr>
      </w:pPr>
      <w:r>
        <w:rPr>
          <w:rFonts w:hint="eastAsia"/>
        </w:rPr>
        <w:t>3.雨水利用：屋面雨水经雨水斗收集，经初期弃流后汇入雨水调蓄池（有效容积200m³），处理后用于绿化灌溉、道路浇洒，减少径流污染。</w:t>
      </w:r>
    </w:p>
    <w:p w14:paraId="60790061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3.2大气污染控制措施</w:t>
      </w:r>
    </w:p>
    <w:p w14:paraId="14A9B6AC">
      <w:pPr>
        <w:spacing w:line="360" w:lineRule="auto"/>
        <w:rPr>
          <w:rFonts w:hint="eastAsia"/>
        </w:rPr>
      </w:pPr>
      <w:r>
        <w:rPr>
          <w:rFonts w:hint="eastAsia"/>
        </w:rPr>
        <w:t>1.餐饮油烟治理：</w:t>
      </w:r>
    </w:p>
    <w:p w14:paraId="3046A369">
      <w:pPr>
        <w:spacing w:line="360" w:lineRule="auto"/>
        <w:rPr>
          <w:rFonts w:hint="eastAsia"/>
        </w:rPr>
      </w:pPr>
      <w:r>
        <w:rPr>
          <w:rFonts w:hint="eastAsia"/>
        </w:rPr>
        <w:t>云间食肆厨房安装高效油烟净化一体机，净化效率≥90%</w:t>
      </w:r>
    </w:p>
    <w:p w14:paraId="6F752B25">
      <w:pPr>
        <w:spacing w:line="360" w:lineRule="auto"/>
        <w:rPr>
          <w:rFonts w:hint="eastAsia"/>
        </w:rPr>
      </w:pPr>
      <w:r>
        <w:rPr>
          <w:rFonts w:hint="eastAsia"/>
        </w:rPr>
        <w:t>油烟排放口设置于建筑屋顶，高于周边建筑3m以上，远离新风入口</w:t>
      </w:r>
    </w:p>
    <w:p w14:paraId="4FF53817">
      <w:pPr>
        <w:spacing w:line="360" w:lineRule="auto"/>
        <w:rPr>
          <w:rFonts w:hint="eastAsia"/>
        </w:rPr>
      </w:pPr>
      <w:r>
        <w:rPr>
          <w:rFonts w:hint="eastAsia"/>
        </w:rPr>
        <w:t>定期清洗维护油烟净化设备，每年至少2次</w:t>
      </w:r>
    </w:p>
    <w:p w14:paraId="7E75C628">
      <w:pPr>
        <w:spacing w:line="360" w:lineRule="auto"/>
        <w:rPr>
          <w:rFonts w:hint="eastAsia"/>
        </w:rPr>
      </w:pPr>
      <w:r>
        <w:rPr>
          <w:rFonts w:hint="eastAsia"/>
        </w:rPr>
        <w:t>2.机动车尾气控制：</w:t>
      </w:r>
    </w:p>
    <w:p w14:paraId="19AA84F7">
      <w:pPr>
        <w:spacing w:line="360" w:lineRule="auto"/>
        <w:rPr>
          <w:rFonts w:hint="eastAsia"/>
        </w:rPr>
      </w:pPr>
      <w:r>
        <w:rPr>
          <w:rFonts w:hint="eastAsia"/>
        </w:rPr>
        <w:t>采用人车分流，机动车止于山脚停车场，减少内部车辆行驶</w:t>
      </w:r>
    </w:p>
    <w:p w14:paraId="1B13B041">
      <w:pPr>
        <w:spacing w:line="360" w:lineRule="auto"/>
        <w:rPr>
          <w:rFonts w:hint="eastAsia"/>
        </w:rPr>
      </w:pPr>
      <w:r>
        <w:rPr>
          <w:rFonts w:hint="eastAsia"/>
        </w:rPr>
        <w:t>停车场周边种植乔灌木，形成绿化隔离带，吸附尾气</w:t>
      </w:r>
    </w:p>
    <w:p w14:paraId="05A5FFE1">
      <w:pPr>
        <w:spacing w:line="360" w:lineRule="auto"/>
        <w:rPr>
          <w:rFonts w:hint="eastAsia"/>
        </w:rPr>
      </w:pPr>
      <w:r>
        <w:rPr>
          <w:rFonts w:hint="eastAsia"/>
        </w:rPr>
        <w:t>鼓励使用电瓶摆渡车，减少燃油车使用</w:t>
      </w:r>
    </w:p>
    <w:p w14:paraId="4ABBF8B6">
      <w:pPr>
        <w:spacing w:line="360" w:lineRule="auto"/>
        <w:rPr>
          <w:rFonts w:hint="eastAsia"/>
        </w:rPr>
      </w:pPr>
      <w:r>
        <w:rPr>
          <w:rFonts w:hint="eastAsia"/>
        </w:rPr>
        <w:t>3.垃圾收集点异味控制：</w:t>
      </w:r>
    </w:p>
    <w:p w14:paraId="490D155C">
      <w:pPr>
        <w:spacing w:line="360" w:lineRule="auto"/>
        <w:rPr>
          <w:rFonts w:hint="eastAsia"/>
        </w:rPr>
      </w:pPr>
      <w:r>
        <w:rPr>
          <w:rFonts w:hint="eastAsia"/>
        </w:rPr>
        <w:t>垃圾容器采用密闭式有盖垃圾桶，日产日清</w:t>
      </w:r>
    </w:p>
    <w:p w14:paraId="2B175D80">
      <w:pPr>
        <w:spacing w:line="360" w:lineRule="auto"/>
        <w:rPr>
          <w:rFonts w:hint="eastAsia"/>
        </w:rPr>
      </w:pPr>
      <w:r>
        <w:rPr>
          <w:rFonts w:hint="eastAsia"/>
        </w:rPr>
        <w:t>收集点设置遮雨棚，每日冲洗消毒</w:t>
      </w:r>
    </w:p>
    <w:p w14:paraId="00C8E4F6">
      <w:pPr>
        <w:spacing w:line="360" w:lineRule="auto"/>
        <w:rPr>
          <w:rFonts w:hint="eastAsia"/>
        </w:rPr>
      </w:pPr>
      <w:r>
        <w:rPr>
          <w:rFonts w:hint="eastAsia"/>
        </w:rPr>
        <w:t>收集点周边种植芳香植物，减少异味扩散</w:t>
      </w:r>
    </w:p>
    <w:p w14:paraId="3343E831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3.3噪声污染控制措施</w:t>
      </w:r>
    </w:p>
    <w:p w14:paraId="34973F9C">
      <w:pPr>
        <w:spacing w:line="360" w:lineRule="auto"/>
        <w:rPr>
          <w:rFonts w:hint="eastAsia"/>
        </w:rPr>
      </w:pPr>
      <w:r>
        <w:rPr>
          <w:rFonts w:hint="eastAsia"/>
        </w:rPr>
        <w:t>1.设备噪声控制：</w:t>
      </w:r>
    </w:p>
    <w:p w14:paraId="406B7181">
      <w:pPr>
        <w:spacing w:line="360" w:lineRule="auto"/>
        <w:rPr>
          <w:rFonts w:hint="eastAsia"/>
        </w:rPr>
      </w:pPr>
      <w:r>
        <w:rPr>
          <w:rFonts w:hint="eastAsia"/>
        </w:rPr>
        <w:t>空调室外机、水泵、风机等设备选用低噪声型，声压级≤55dB(A)</w:t>
      </w:r>
    </w:p>
    <w:p w14:paraId="5575D5DC">
      <w:pPr>
        <w:spacing w:line="360" w:lineRule="auto"/>
        <w:rPr>
          <w:rFonts w:hint="eastAsia"/>
        </w:rPr>
      </w:pPr>
      <w:r>
        <w:rPr>
          <w:rFonts w:hint="eastAsia"/>
        </w:rPr>
        <w:t>设备基础设减振垫，管道设柔性接头</w:t>
      </w:r>
    </w:p>
    <w:p w14:paraId="396D38EC">
      <w:pPr>
        <w:spacing w:line="360" w:lineRule="auto"/>
        <w:rPr>
          <w:rFonts w:hint="eastAsia"/>
        </w:rPr>
      </w:pPr>
      <w:r>
        <w:rPr>
          <w:rFonts w:hint="eastAsia"/>
        </w:rPr>
        <w:t>水泵房、风机房内墙做吸声处理，设备间设隔声门</w:t>
      </w:r>
    </w:p>
    <w:p w14:paraId="4FEAEC4E">
      <w:pPr>
        <w:spacing w:line="360" w:lineRule="auto"/>
        <w:rPr>
          <w:rFonts w:hint="eastAsia"/>
        </w:rPr>
      </w:pPr>
      <w:r>
        <w:rPr>
          <w:rFonts w:hint="eastAsia"/>
        </w:rPr>
        <w:t>2.交通噪声控制：</w:t>
      </w:r>
    </w:p>
    <w:p w14:paraId="25EC154C">
      <w:pPr>
        <w:spacing w:line="360" w:lineRule="auto"/>
        <w:rPr>
          <w:rFonts w:hint="eastAsia"/>
        </w:rPr>
      </w:pPr>
      <w:r>
        <w:rPr>
          <w:rFonts w:hint="eastAsia"/>
        </w:rPr>
        <w:t>场地边界设置绿化隔离带，宽度≥10m，种植乔灌木复层植被</w:t>
      </w:r>
    </w:p>
    <w:p w14:paraId="4A0D8FD6">
      <w:pPr>
        <w:spacing w:line="360" w:lineRule="auto"/>
        <w:rPr>
          <w:rFonts w:hint="eastAsia"/>
        </w:rPr>
      </w:pPr>
      <w:r>
        <w:rPr>
          <w:rFonts w:hint="eastAsia"/>
        </w:rPr>
        <w:t>车辆限速（≤20km/h），禁止鸣笛</w:t>
      </w:r>
    </w:p>
    <w:p w14:paraId="4F8D2DEB">
      <w:pPr>
        <w:spacing w:line="360" w:lineRule="auto"/>
        <w:rPr>
          <w:rFonts w:hint="eastAsia"/>
        </w:rPr>
      </w:pPr>
      <w:r>
        <w:rPr>
          <w:rFonts w:hint="eastAsia"/>
        </w:rPr>
        <w:t>3.噪声监测：每季度对场地边界噪声进行监测，确保符合《声环境质量标准》2类功能区要求。</w:t>
      </w:r>
    </w:p>
    <w:p w14:paraId="16F3F52E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3.4固体废弃物控制措施</w:t>
      </w:r>
    </w:p>
    <w:p w14:paraId="29C905F0">
      <w:pPr>
        <w:spacing w:line="360" w:lineRule="auto"/>
        <w:rPr>
          <w:rFonts w:hint="eastAsia"/>
        </w:rPr>
      </w:pPr>
      <w:r>
        <w:rPr>
          <w:rFonts w:hint="eastAsia"/>
        </w:rPr>
        <w:t>1.分类收集：</w:t>
      </w:r>
    </w:p>
    <w:p w14:paraId="34766D45">
      <w:pPr>
        <w:spacing w:line="360" w:lineRule="auto"/>
        <w:rPr>
          <w:rFonts w:hint="eastAsia"/>
        </w:rPr>
      </w:pPr>
      <w:r>
        <w:rPr>
          <w:rFonts w:hint="eastAsia"/>
        </w:rPr>
        <w:t>场地内设置四分类垃圾收集点（可回收物、厨余垃圾、有害垃圾、其他垃圾）</w:t>
      </w:r>
    </w:p>
    <w:p w14:paraId="2C60D1A3">
      <w:pPr>
        <w:spacing w:line="360" w:lineRule="auto"/>
        <w:rPr>
          <w:rFonts w:hint="eastAsia"/>
        </w:rPr>
      </w:pPr>
      <w:r>
        <w:rPr>
          <w:rFonts w:hint="eastAsia"/>
        </w:rPr>
        <w:t>容器颜色、标识符合国家标准，便于识别</w:t>
      </w:r>
    </w:p>
    <w:p w14:paraId="79E0944E">
      <w:pPr>
        <w:spacing w:line="360" w:lineRule="auto"/>
        <w:rPr>
          <w:rFonts w:hint="eastAsia"/>
        </w:rPr>
      </w:pPr>
      <w:r>
        <w:rPr>
          <w:rFonts w:hint="eastAsia"/>
        </w:rPr>
        <w:t>2.日产日清：</w:t>
      </w:r>
    </w:p>
    <w:p w14:paraId="361FA260">
      <w:pPr>
        <w:spacing w:line="360" w:lineRule="auto"/>
        <w:rPr>
          <w:rFonts w:hint="eastAsia"/>
        </w:rPr>
      </w:pPr>
      <w:r>
        <w:rPr>
          <w:rFonts w:hint="eastAsia"/>
        </w:rPr>
        <w:t>厨余垃圾每日清运1次，夏季增加至2次</w:t>
      </w:r>
    </w:p>
    <w:p w14:paraId="39F42E5D">
      <w:pPr>
        <w:spacing w:line="360" w:lineRule="auto"/>
        <w:rPr>
          <w:rFonts w:hint="eastAsia"/>
        </w:rPr>
      </w:pPr>
      <w:r>
        <w:rPr>
          <w:rFonts w:hint="eastAsia"/>
        </w:rPr>
        <w:t>其他垃圾每日清运1次</w:t>
      </w:r>
    </w:p>
    <w:p w14:paraId="4B8E1EDB">
      <w:pPr>
        <w:spacing w:line="360" w:lineRule="auto"/>
        <w:rPr>
          <w:rFonts w:hint="eastAsia"/>
        </w:rPr>
      </w:pPr>
      <w:r>
        <w:rPr>
          <w:rFonts w:hint="eastAsia"/>
        </w:rPr>
        <w:t>可回收物每周清运23次</w:t>
      </w:r>
    </w:p>
    <w:p w14:paraId="55B588D0">
      <w:pPr>
        <w:spacing w:line="360" w:lineRule="auto"/>
        <w:rPr>
          <w:rFonts w:hint="eastAsia"/>
        </w:rPr>
      </w:pPr>
      <w:r>
        <w:rPr>
          <w:rFonts w:hint="eastAsia"/>
        </w:rPr>
        <w:t>3.餐厨垃圾专项处理：</w:t>
      </w:r>
    </w:p>
    <w:p w14:paraId="379CC556">
      <w:pPr>
        <w:spacing w:line="360" w:lineRule="auto"/>
        <w:rPr>
          <w:rFonts w:hint="eastAsia"/>
        </w:rPr>
      </w:pPr>
      <w:r>
        <w:rPr>
          <w:rFonts w:hint="eastAsia"/>
        </w:rPr>
        <w:t>设置专用厨余垃圾桶，密闭存放</w:t>
      </w:r>
    </w:p>
    <w:p w14:paraId="454161E2">
      <w:pPr>
        <w:spacing w:line="360" w:lineRule="auto"/>
        <w:rPr>
          <w:rFonts w:hint="eastAsia"/>
        </w:rPr>
      </w:pPr>
      <w:r>
        <w:rPr>
          <w:rFonts w:hint="eastAsia"/>
        </w:rPr>
        <w:t>交由有资质单位进行资源化处理（厌氧发酵或堆肥）</w:t>
      </w:r>
    </w:p>
    <w:p w14:paraId="48170365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3.5光污染控制措施</w:t>
      </w:r>
    </w:p>
    <w:p w14:paraId="7705D5C0">
      <w:pPr>
        <w:spacing w:line="360" w:lineRule="auto"/>
        <w:rPr>
          <w:rFonts w:hint="eastAsia"/>
        </w:rPr>
      </w:pPr>
      <w:r>
        <w:rPr>
          <w:rFonts w:hint="eastAsia"/>
        </w:rPr>
        <w:t>1.照明设计：</w:t>
      </w:r>
    </w:p>
    <w:p w14:paraId="5F8A359C">
      <w:pPr>
        <w:spacing w:line="360" w:lineRule="auto"/>
        <w:rPr>
          <w:rFonts w:hint="eastAsia"/>
        </w:rPr>
      </w:pPr>
      <w:r>
        <w:rPr>
          <w:rFonts w:hint="eastAsia"/>
        </w:rPr>
        <w:t>室外照明采用截光型灯具，光线向下投射，避免向上溢散</w:t>
      </w:r>
    </w:p>
    <w:p w14:paraId="7EA1E996">
      <w:pPr>
        <w:spacing w:line="360" w:lineRule="auto"/>
        <w:rPr>
          <w:rFonts w:hint="eastAsia"/>
        </w:rPr>
      </w:pPr>
      <w:r>
        <w:rPr>
          <w:rFonts w:hint="eastAsia"/>
        </w:rPr>
        <w:t>灯具色温≤3000K（暖白光），营造温馨环境</w:t>
      </w:r>
    </w:p>
    <w:p w14:paraId="45B87DA0">
      <w:pPr>
        <w:spacing w:line="360" w:lineRule="auto"/>
        <w:rPr>
          <w:rFonts w:hint="eastAsia"/>
        </w:rPr>
      </w:pPr>
      <w:r>
        <w:rPr>
          <w:rFonts w:hint="eastAsia"/>
        </w:rPr>
        <w:t>庭院步道采用红外感应照明，深夜自动调暗或关闭</w:t>
      </w:r>
    </w:p>
    <w:p w14:paraId="71CE6748">
      <w:pPr>
        <w:spacing w:line="360" w:lineRule="auto"/>
        <w:rPr>
          <w:rFonts w:hint="eastAsia"/>
        </w:rPr>
      </w:pPr>
      <w:r>
        <w:rPr>
          <w:rFonts w:hint="eastAsia"/>
        </w:rPr>
        <w:t>2.玻璃幕墙防眩光：</w:t>
      </w:r>
    </w:p>
    <w:p w14:paraId="4FED72B3">
      <w:pPr>
        <w:spacing w:line="360" w:lineRule="auto"/>
        <w:rPr>
          <w:rFonts w:hint="eastAsia"/>
        </w:rPr>
      </w:pPr>
      <w:r>
        <w:rPr>
          <w:rFonts w:hint="eastAsia"/>
        </w:rPr>
        <w:t>光伏玻璃幕墙采用半透明光伏电池，透光率可调</w:t>
      </w:r>
    </w:p>
    <w:p w14:paraId="5BEE8C04">
      <w:pPr>
        <w:spacing w:line="360" w:lineRule="auto"/>
        <w:rPr>
          <w:rFonts w:hint="eastAsia"/>
        </w:rPr>
      </w:pPr>
      <w:r>
        <w:rPr>
          <w:rFonts w:hint="eastAsia"/>
        </w:rPr>
        <w:t>外窗采用低反射玻璃，反射率≤15%</w:t>
      </w:r>
    </w:p>
    <w:p w14:paraId="29E14A8B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3.6施工期污染控制</w:t>
      </w:r>
    </w:p>
    <w:p w14:paraId="262E48C2">
      <w:pPr>
        <w:spacing w:line="360" w:lineRule="auto"/>
        <w:rPr>
          <w:rFonts w:hint="eastAsia"/>
        </w:rPr>
      </w:pPr>
      <w:r>
        <w:rPr>
          <w:rFonts w:hint="eastAsia"/>
        </w:rPr>
        <w:t>1.扬尘控制：施工现场设置围挡，裸露地面覆盖，洒水降尘</w:t>
      </w:r>
    </w:p>
    <w:p w14:paraId="72260E57">
      <w:pPr>
        <w:spacing w:line="360" w:lineRule="auto"/>
        <w:rPr>
          <w:rFonts w:hint="eastAsia"/>
        </w:rPr>
      </w:pPr>
      <w:r>
        <w:rPr>
          <w:rFonts w:hint="eastAsia"/>
        </w:rPr>
        <w:t>2.施工噪声：合理安排施工时间，夜间禁止高噪声作业</w:t>
      </w:r>
    </w:p>
    <w:p w14:paraId="5F600B39">
      <w:pPr>
        <w:spacing w:line="360" w:lineRule="auto"/>
        <w:rPr>
          <w:rFonts w:hint="eastAsia"/>
        </w:rPr>
      </w:pPr>
      <w:r>
        <w:rPr>
          <w:rFonts w:hint="eastAsia"/>
        </w:rPr>
        <w:t>3.施工废水：设置沉淀池，废水经处理后回用</w:t>
      </w:r>
    </w:p>
    <w:p w14:paraId="5FA5724C">
      <w:pPr>
        <w:spacing w:line="360" w:lineRule="auto"/>
        <w:rPr>
          <w:rFonts w:hint="eastAsia"/>
        </w:rPr>
      </w:pPr>
      <w:r>
        <w:rPr>
          <w:rFonts w:hint="eastAsia"/>
        </w:rPr>
        <w:t>4.建筑垃圾：分类堆放，及时清运，可回收部分资源化利用</w:t>
      </w:r>
    </w:p>
    <w:p w14:paraId="00CD45FD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四、监测计划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21"/>
        <w:gridCol w:w="3187"/>
        <w:gridCol w:w="1347"/>
        <w:gridCol w:w="1280"/>
        <w:gridCol w:w="1487"/>
      </w:tblGrid>
      <w:tr w14:paraId="03B1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1" w:type="dxa"/>
            <w:vAlign w:val="center"/>
          </w:tcPr>
          <w:p w14:paraId="189945C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测类别</w:t>
            </w:r>
          </w:p>
        </w:tc>
        <w:tc>
          <w:tcPr>
            <w:tcW w:w="3187" w:type="dxa"/>
            <w:vAlign w:val="center"/>
          </w:tcPr>
          <w:p w14:paraId="382C347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监测项目</w:t>
            </w:r>
          </w:p>
        </w:tc>
        <w:tc>
          <w:tcPr>
            <w:tcW w:w="1347" w:type="dxa"/>
            <w:vAlign w:val="center"/>
          </w:tcPr>
          <w:p w14:paraId="691B2DF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监测点位</w:t>
            </w:r>
          </w:p>
        </w:tc>
        <w:tc>
          <w:tcPr>
            <w:tcW w:w="1280" w:type="dxa"/>
            <w:vAlign w:val="center"/>
          </w:tcPr>
          <w:p w14:paraId="6C35DCF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监测频次</w:t>
            </w:r>
          </w:p>
        </w:tc>
        <w:tc>
          <w:tcPr>
            <w:tcW w:w="1487" w:type="dxa"/>
            <w:vAlign w:val="center"/>
          </w:tcPr>
          <w:p w14:paraId="52FFAB5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执行标准</w:t>
            </w:r>
          </w:p>
        </w:tc>
      </w:tr>
      <w:tr w14:paraId="382E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1" w:type="dxa"/>
            <w:vAlign w:val="center"/>
          </w:tcPr>
          <w:p w14:paraId="1D4A44D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废水</w:t>
            </w:r>
          </w:p>
        </w:tc>
        <w:tc>
          <w:tcPr>
            <w:tcW w:w="3187" w:type="dxa"/>
            <w:vAlign w:val="center"/>
          </w:tcPr>
          <w:p w14:paraId="26F6A8C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pH、COD、BOD、SS、氨氮、动植物油</w:t>
            </w:r>
          </w:p>
        </w:tc>
        <w:tc>
          <w:tcPr>
            <w:tcW w:w="1347" w:type="dxa"/>
            <w:vAlign w:val="center"/>
          </w:tcPr>
          <w:p w14:paraId="43FC3E4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污水总排口</w:t>
            </w:r>
          </w:p>
        </w:tc>
        <w:tc>
          <w:tcPr>
            <w:tcW w:w="1280" w:type="dxa"/>
            <w:vAlign w:val="center"/>
          </w:tcPr>
          <w:p w14:paraId="5F46E76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每季度</w:t>
            </w:r>
          </w:p>
        </w:tc>
        <w:tc>
          <w:tcPr>
            <w:tcW w:w="1487" w:type="dxa"/>
            <w:vAlign w:val="center"/>
          </w:tcPr>
          <w:p w14:paraId="6D6CDA6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 8978</w:t>
            </w:r>
          </w:p>
        </w:tc>
      </w:tr>
      <w:tr w14:paraId="7E78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1" w:type="dxa"/>
            <w:vAlign w:val="center"/>
          </w:tcPr>
          <w:p w14:paraId="2FF1121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废气（油烟）</w:t>
            </w:r>
          </w:p>
        </w:tc>
        <w:tc>
          <w:tcPr>
            <w:tcW w:w="3187" w:type="dxa"/>
            <w:vAlign w:val="center"/>
          </w:tcPr>
          <w:p w14:paraId="0573BE9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油烟浓度</w:t>
            </w:r>
          </w:p>
        </w:tc>
        <w:tc>
          <w:tcPr>
            <w:tcW w:w="1347" w:type="dxa"/>
            <w:vAlign w:val="center"/>
          </w:tcPr>
          <w:p w14:paraId="7D95646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厨房排烟口</w:t>
            </w:r>
          </w:p>
        </w:tc>
        <w:tc>
          <w:tcPr>
            <w:tcW w:w="1280" w:type="dxa"/>
            <w:vAlign w:val="center"/>
          </w:tcPr>
          <w:p w14:paraId="143E944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每半年</w:t>
            </w:r>
          </w:p>
        </w:tc>
        <w:tc>
          <w:tcPr>
            <w:tcW w:w="1487" w:type="dxa"/>
            <w:vAlign w:val="center"/>
          </w:tcPr>
          <w:p w14:paraId="42C21A2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 18483</w:t>
            </w:r>
          </w:p>
        </w:tc>
      </w:tr>
      <w:tr w14:paraId="5368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1" w:type="dxa"/>
            <w:vAlign w:val="center"/>
          </w:tcPr>
          <w:p w14:paraId="535CEF9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噪声</w:t>
            </w:r>
          </w:p>
        </w:tc>
        <w:tc>
          <w:tcPr>
            <w:tcW w:w="3187" w:type="dxa"/>
            <w:vAlign w:val="center"/>
          </w:tcPr>
          <w:p w14:paraId="5F51E30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等效连续A声级</w:t>
            </w:r>
          </w:p>
        </w:tc>
        <w:tc>
          <w:tcPr>
            <w:tcW w:w="1347" w:type="dxa"/>
            <w:vAlign w:val="center"/>
          </w:tcPr>
          <w:p w14:paraId="50F4791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场地边界</w:t>
            </w:r>
          </w:p>
        </w:tc>
        <w:tc>
          <w:tcPr>
            <w:tcW w:w="1280" w:type="dxa"/>
            <w:vAlign w:val="center"/>
          </w:tcPr>
          <w:p w14:paraId="4095E57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每季度</w:t>
            </w:r>
          </w:p>
        </w:tc>
        <w:tc>
          <w:tcPr>
            <w:tcW w:w="1487" w:type="dxa"/>
            <w:vAlign w:val="center"/>
          </w:tcPr>
          <w:p w14:paraId="0FCC8F3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 3096</w:t>
            </w:r>
          </w:p>
        </w:tc>
      </w:tr>
      <w:tr w14:paraId="1491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1" w:type="dxa"/>
            <w:vAlign w:val="center"/>
          </w:tcPr>
          <w:p w14:paraId="370C56D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环境空气</w:t>
            </w:r>
          </w:p>
        </w:tc>
        <w:tc>
          <w:tcPr>
            <w:tcW w:w="3187" w:type="dxa"/>
            <w:vAlign w:val="center"/>
          </w:tcPr>
          <w:p w14:paraId="1D8C519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SO₂、NO₂、PM10、PM2.5</w:t>
            </w:r>
          </w:p>
        </w:tc>
        <w:tc>
          <w:tcPr>
            <w:tcW w:w="1347" w:type="dxa"/>
            <w:vAlign w:val="center"/>
          </w:tcPr>
          <w:p w14:paraId="0CAB26B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场地中心</w:t>
            </w:r>
          </w:p>
        </w:tc>
        <w:tc>
          <w:tcPr>
            <w:tcW w:w="1280" w:type="dxa"/>
            <w:vAlign w:val="center"/>
          </w:tcPr>
          <w:p w14:paraId="7E3F391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每年</w:t>
            </w:r>
          </w:p>
        </w:tc>
        <w:tc>
          <w:tcPr>
            <w:tcW w:w="1487" w:type="dxa"/>
            <w:vAlign w:val="center"/>
          </w:tcPr>
          <w:p w14:paraId="74F5865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 3095</w:t>
            </w:r>
          </w:p>
        </w:tc>
      </w:tr>
    </w:tbl>
    <w:p w14:paraId="3B72C2A9">
      <w:pPr>
        <w:spacing w:line="360" w:lineRule="auto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五、结论</w:t>
      </w:r>
    </w:p>
    <w:p w14:paraId="7963A117">
      <w:pPr>
        <w:spacing w:line="360" w:lineRule="auto"/>
        <w:rPr>
          <w:rFonts w:hint="eastAsia"/>
        </w:rPr>
      </w:pPr>
      <w:r>
        <w:rPr>
          <w:rFonts w:hint="eastAsia"/>
        </w:rPr>
        <w:t>经检测与评估，本项目场地内各项污染源排放指标均符合国家及地方相关标准要求：</w:t>
      </w:r>
    </w:p>
    <w:p w14:paraId="5BFFF352">
      <w:pPr>
        <w:spacing w:line="360" w:lineRule="auto"/>
        <w:rPr>
          <w:rFonts w:hint="eastAsia"/>
        </w:rPr>
      </w:pPr>
      <w:r>
        <w:rPr>
          <w:rFonts w:hint="eastAsia"/>
        </w:rPr>
        <w:t>1.生活污水经化粪池、隔油池预处理后，水质满足《污水综合排放标准》GB8978三级标准，接入市政污水管网。</w:t>
      </w:r>
    </w:p>
    <w:p w14:paraId="6D88D6A7">
      <w:pPr>
        <w:spacing w:line="360" w:lineRule="auto"/>
        <w:rPr>
          <w:rFonts w:hint="eastAsia"/>
        </w:rPr>
      </w:pPr>
      <w:r>
        <w:rPr>
          <w:rFonts w:hint="eastAsia"/>
        </w:rPr>
        <w:t>2.餐饮油烟经高效油烟净化器处理后，油烟排放浓度≤1.2mg/m³，满足《饮食业油烟排放标准》GB18483要求。</w:t>
      </w:r>
    </w:p>
    <w:p w14:paraId="1C7D6EB0">
      <w:pPr>
        <w:spacing w:line="360" w:lineRule="auto"/>
        <w:rPr>
          <w:rFonts w:hint="eastAsia"/>
        </w:rPr>
      </w:pPr>
      <w:r>
        <w:rPr>
          <w:rFonts w:hint="eastAsia"/>
        </w:rPr>
        <w:t>3.场地噪声昼间≤48dB(A)、夜间≤42dB(A)，满足《声环境质量标准》GB30962类功能区要求。</w:t>
      </w:r>
    </w:p>
    <w:p w14:paraId="44536BDF">
      <w:pPr>
        <w:spacing w:line="360" w:lineRule="auto"/>
        <w:rPr>
          <w:rFonts w:hint="eastAsia"/>
        </w:rPr>
      </w:pPr>
      <w:r>
        <w:rPr>
          <w:rFonts w:hint="eastAsia"/>
        </w:rPr>
        <w:t>4.固体废弃物分类收集率100%，日产日清，无露天堆放。</w:t>
      </w:r>
    </w:p>
    <w:p w14:paraId="11A7D6AC">
      <w:pPr>
        <w:spacing w:line="360" w:lineRule="auto"/>
        <w:rPr>
          <w:rFonts w:hint="eastAsia"/>
        </w:rPr>
      </w:pPr>
      <w:r>
        <w:rPr>
          <w:rFonts w:hint="eastAsia"/>
        </w:rPr>
        <w:t>5.施工期已采取有效污染控制措施，未发生环境污染事件。</w:t>
      </w:r>
    </w:p>
    <w:p w14:paraId="4EB057F0">
      <w:pPr>
        <w:spacing w:line="360" w:lineRule="auto"/>
        <w:rPr>
          <w:rFonts w:hint="eastAsia"/>
        </w:rPr>
      </w:pPr>
      <w:r>
        <w:rPr>
          <w:rFonts w:hint="eastAsia"/>
        </w:rPr>
        <w:t>综上所述，本项目场地内不存在排放超标的污染源，满足《绿色建筑评价标准》GB/T503782019第8.1.6条要求。</w:t>
      </w:r>
    </w:p>
    <w:p w14:paraId="17EA50E4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03DAA"/>
    <w:rsid w:val="01E826E2"/>
    <w:rsid w:val="02EA5E64"/>
    <w:rsid w:val="054C6DC8"/>
    <w:rsid w:val="074B1157"/>
    <w:rsid w:val="0804000E"/>
    <w:rsid w:val="0AAC3720"/>
    <w:rsid w:val="0B1F5DFE"/>
    <w:rsid w:val="0F672256"/>
    <w:rsid w:val="0F817A89"/>
    <w:rsid w:val="10AB0D9A"/>
    <w:rsid w:val="110F44A1"/>
    <w:rsid w:val="132977A5"/>
    <w:rsid w:val="13686505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55900F5"/>
    <w:rsid w:val="263A0CAE"/>
    <w:rsid w:val="27E06D3B"/>
    <w:rsid w:val="2F770F8B"/>
    <w:rsid w:val="3138447C"/>
    <w:rsid w:val="336E0BB9"/>
    <w:rsid w:val="3391587F"/>
    <w:rsid w:val="36117ABA"/>
    <w:rsid w:val="37146A02"/>
    <w:rsid w:val="37766623"/>
    <w:rsid w:val="3A493650"/>
    <w:rsid w:val="3C9276A8"/>
    <w:rsid w:val="3D630DE3"/>
    <w:rsid w:val="3F4B54B4"/>
    <w:rsid w:val="3FF2253A"/>
    <w:rsid w:val="40E23136"/>
    <w:rsid w:val="459D70D8"/>
    <w:rsid w:val="45C36F88"/>
    <w:rsid w:val="478B28FF"/>
    <w:rsid w:val="4791089A"/>
    <w:rsid w:val="49057C6F"/>
    <w:rsid w:val="49101F82"/>
    <w:rsid w:val="51E945FD"/>
    <w:rsid w:val="56A46A8E"/>
    <w:rsid w:val="57E03DAA"/>
    <w:rsid w:val="59310A84"/>
    <w:rsid w:val="5A4E6BB6"/>
    <w:rsid w:val="5BB0532E"/>
    <w:rsid w:val="5BFB3733"/>
    <w:rsid w:val="60254083"/>
    <w:rsid w:val="60A73A4C"/>
    <w:rsid w:val="616D396F"/>
    <w:rsid w:val="6414544B"/>
    <w:rsid w:val="66837B78"/>
    <w:rsid w:val="698D095A"/>
    <w:rsid w:val="6BFF1167"/>
    <w:rsid w:val="6E9C2F74"/>
    <w:rsid w:val="6EBE3F23"/>
    <w:rsid w:val="72E227E3"/>
    <w:rsid w:val="733C0E0D"/>
    <w:rsid w:val="743B192E"/>
    <w:rsid w:val="7455531E"/>
    <w:rsid w:val="74D23902"/>
    <w:rsid w:val="75DB589D"/>
    <w:rsid w:val="77057462"/>
    <w:rsid w:val="787637DC"/>
    <w:rsid w:val="791B31C0"/>
    <w:rsid w:val="7B4E665E"/>
    <w:rsid w:val="7BC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2026-03-21T09:10:00Z</dcterms:created>
  <dc:creator>Luffy</dc:creator>
  <cp:lastModifiedBy>Luffy</cp:lastModifiedBy>
  <dcterms:modified xsi:type="dcterms:W3CDTF">2026-03-21T09:17:14Z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A63F3EF44791493B96B0DCF3541ABAA7_11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