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574A5CA">
      <w:pPr>
        <w:keepNext w:val="0"/>
        <w:keepLines w:val="0"/>
        <w:pageBreakBefore w:val="0"/>
        <w:kinsoku/>
        <w:wordWrap/>
        <w:overflowPunct/>
        <w:topLinePunct w:val="0"/>
        <w:autoSpaceDE/>
        <w:autoSpaceDN/>
        <w:bidi w:val="0"/>
        <w:adjustRightInd/>
        <w:snapToGrid/>
        <w:spacing w:line="360" w:lineRule="auto"/>
        <w:ind w:firstLine="562" w:firstLineChars="200"/>
        <w:jc w:val="center"/>
        <w:textAlignment w:val="auto"/>
        <w:rPr>
          <w:rFonts w:hint="eastAsia" w:ascii="黑体" w:hAnsi="黑体" w:eastAsia="黑体" w:cs="黑体"/>
          <w:b/>
          <w:bCs/>
          <w:sz w:val="28"/>
          <w:szCs w:val="36"/>
        </w:rPr>
      </w:pPr>
      <w:r>
        <w:rPr>
          <w:rFonts w:hint="eastAsia" w:ascii="黑体" w:hAnsi="黑体" w:eastAsia="黑体" w:cs="黑体"/>
          <w:b/>
          <w:bCs/>
          <w:sz w:val="28"/>
          <w:szCs w:val="36"/>
        </w:rPr>
        <w:t>绿筑武夷，零碳共生——面向多元人群的共生型山地公社</w:t>
      </w:r>
    </w:p>
    <w:p w14:paraId="7976A8BD">
      <w:pPr>
        <w:keepNext w:val="0"/>
        <w:keepLines w:val="0"/>
        <w:pageBreakBefore w:val="0"/>
        <w:kinsoku/>
        <w:wordWrap/>
        <w:overflowPunct/>
        <w:topLinePunct w:val="0"/>
        <w:autoSpaceDE/>
        <w:autoSpaceDN/>
        <w:bidi w:val="0"/>
        <w:adjustRightInd/>
        <w:snapToGrid/>
        <w:spacing w:line="360" w:lineRule="auto"/>
        <w:ind w:firstLine="562" w:firstLineChars="200"/>
        <w:jc w:val="center"/>
        <w:textAlignment w:val="auto"/>
        <w:rPr>
          <w:rFonts w:hint="eastAsia" w:ascii="黑体" w:hAnsi="黑体" w:eastAsia="黑体" w:cs="黑体"/>
          <w:b/>
          <w:bCs/>
          <w:sz w:val="24"/>
          <w:szCs w:val="32"/>
          <w:lang w:val="en-US" w:eastAsia="zh-CN"/>
        </w:rPr>
      </w:pPr>
      <w:r>
        <w:rPr>
          <w:rFonts w:hint="eastAsia" w:ascii="黑体" w:hAnsi="黑体" w:eastAsia="黑体" w:cs="黑体"/>
          <w:b/>
          <w:bCs/>
          <w:sz w:val="28"/>
          <w:szCs w:val="36"/>
          <w:lang w:val="en-US" w:eastAsia="zh-CN"/>
        </w:rPr>
        <w:t>建筑设计说明</w:t>
      </w:r>
      <w:bookmarkStart w:id="0" w:name="_GoBack"/>
      <w:bookmarkEnd w:id="0"/>
    </w:p>
    <w:p w14:paraId="0C4290C3">
      <w:pPr>
        <w:keepNext w:val="0"/>
        <w:keepLines w:val="0"/>
        <w:pageBreakBefore w:val="0"/>
        <w:numPr>
          <w:ilvl w:val="0"/>
          <w:numId w:val="1"/>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项目概况</w:t>
      </w:r>
    </w:p>
    <w:p w14:paraId="62C594C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武夷山是世界文化与自然双重遗产地，素有“碧水丹山，岩骨花香”之美誉，是中国乌龙茶和红茶的发源地。庙湾地块位于武夷山风景名胜区边缘地带，现状为东向缓坡台地，周边茶园连绵起伏，自然景观资源优越。本项目旨在响应国家“乡村振兴”与“双碳”战略，探索茶产业、旅游业与生态保护的融合发展新模式。</w:t>
      </w:r>
    </w:p>
    <w:p w14:paraId="640D8FF5">
      <w:pPr>
        <w:keepNext w:val="0"/>
        <w:keepLines w:val="0"/>
        <w:pageBreakBefore w:val="0"/>
        <w:numPr>
          <w:ilvl w:val="0"/>
          <w:numId w:val="1"/>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设计理念</w:t>
      </w:r>
    </w:p>
    <w:p w14:paraId="2516ECB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以“绿筑武夷，零碳共生”为核心愿景，打造一个集茶叶生产、文化展示、深度品鉴、度假住宿于一体的低碳聚落。项目不仅服务于游客，更面向茶人、艺术家、本地村民等多元人群，构建一个交流共生、产居融合的“山地公社”。设计力求在尊重原始地貌的前提下，通过现代绿色科技与地域文化的融合，塑造一个如同从茶园中生长而出的“山间乌托邦”。</w:t>
      </w:r>
    </w:p>
    <w:p w14:paraId="47228B7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本项目提出“三种共生”的设计哲学：</w:t>
      </w:r>
    </w:p>
    <w:p w14:paraId="4DC6A60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（1）人地共生：建筑顺应等高线布局，最小化土方开挖，保护表土与原生植被。</w:t>
      </w:r>
    </w:p>
    <w:p w14:paraId="710CBF3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（2）产居共生：将茶叶生产流线（采摘-制茶-品鉴）与游客旅居流线有机交织，让生产成为景观，让居住体验生产。</w:t>
      </w:r>
    </w:p>
    <w:p w14:paraId="559FDB3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b/>
          <w:bCs/>
          <w:sz w:val="24"/>
          <w:szCs w:val="32"/>
          <w:lang w:val="en-US" w:eastAsia="zh-CN"/>
        </w:rPr>
      </w:pPr>
      <w:r>
        <w:rPr>
          <w:rFonts w:hint="eastAsia" w:ascii="宋体" w:hAnsi="宋体" w:eastAsia="宋体" w:cs="宋体"/>
          <w:b w:val="0"/>
          <w:bCs w:val="0"/>
          <w:sz w:val="24"/>
          <w:szCs w:val="32"/>
          <w:lang w:val="en-US" w:eastAsia="zh-CN"/>
        </w:rPr>
        <w:t>（3）古今共生：提取武夷山传统村落“簇群生长、依山就势”的聚落原型，</w:t>
      </w:r>
      <w:r>
        <w:rPr>
          <w:rFonts w:hint="eastAsia" w:ascii="宋体" w:hAnsi="宋体" w:eastAsia="宋体" w:cs="宋体"/>
          <w:b w:val="0"/>
          <w:bCs w:val="0"/>
          <w:sz w:val="24"/>
          <w:szCs w:val="32"/>
          <w:highlight w:val="none"/>
          <w:lang w:val="en-US" w:eastAsia="zh-CN"/>
        </w:rPr>
        <w:t>以现代装配式技术与可再生能源技术重新诠释，实现传统智慧与未来科技的对话。</w:t>
      </w:r>
    </w:p>
    <w:p w14:paraId="3F8CBEA8">
      <w:pPr>
        <w:keepNext w:val="0"/>
        <w:keepLines w:val="0"/>
        <w:pageBreakBefore w:val="0"/>
        <w:numPr>
          <w:ilvl w:val="0"/>
          <w:numId w:val="1"/>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总体规划设计</w:t>
      </w:r>
    </w:p>
    <w:p w14:paraId="1F11C157">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布局结构：“中心公共 + 散点居住”</w:t>
      </w:r>
    </w:p>
    <w:p w14:paraId="70F2960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规划顺应东向台地地形，形成“一轴、一心、多簇群”的总体格局：</w:t>
      </w:r>
    </w:p>
    <w:p w14:paraId="3C4465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一轴：生态走廊。蜿蜒穿行于茶园之间的架空步道，串联所有功能区块，既是交通纽带，也是观景长廊和生物迁徙通道。</w:t>
      </w:r>
    </w:p>
    <w:p w14:paraId="2D6BD0A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一心：茶语工坊。位于中部平缓台地，作为整个聚落的公共客厅，整合制茶工坊、茶文化展厅、品鉴区。</w:t>
      </w:r>
    </w:p>
    <w:p w14:paraId="19D70A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多簇群：叠翠山房。8个居住簇群如星宿般散落于高区台地，每个簇群拥有独立的景观视野和共享庭院，通过毛石小径与主生态走廊连接。</w:t>
      </w:r>
    </w:p>
    <w:p w14:paraId="6AD90DD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外部交通：入口设置集中停车场，机动车止于山脚。</w:t>
      </w:r>
    </w:p>
    <w:p w14:paraId="24B220B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r>
        <w:rPr>
          <w:rFonts w:hint="eastAsia" w:ascii="宋体" w:hAnsi="宋体" w:eastAsia="宋体" w:cs="宋体"/>
          <w:b w:val="0"/>
          <w:bCs w:val="0"/>
          <w:sz w:val="24"/>
          <w:szCs w:val="32"/>
          <w:lang w:val="en-US" w:eastAsia="zh-CN"/>
        </w:rPr>
        <w:t>内部交通：以步行系统为主。设置多处坡道，生态走廊坡度控制在 5%-8%，兼顾无障碍通行。</w:t>
      </w:r>
    </w:p>
    <w:p w14:paraId="37CDAEB5">
      <w:pPr>
        <w:keepNext w:val="0"/>
        <w:keepLines w:val="0"/>
        <w:pageBreakBefore w:val="0"/>
        <w:tabs>
          <w:tab w:val="left" w:pos="1765"/>
        </w:tabs>
        <w:kinsoku/>
        <w:wordWrap/>
        <w:overflowPunct/>
        <w:topLinePunct w:val="0"/>
        <w:autoSpaceDE/>
        <w:autoSpaceDN/>
        <w:bidi w:val="0"/>
        <w:adjustRightInd/>
        <w:snapToGrid/>
        <w:ind w:firstLine="480" w:firstLineChars="200"/>
        <w:jc w:val="center"/>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drawing>
          <wp:inline distT="0" distB="0" distL="114300" distR="114300">
            <wp:extent cx="3054350" cy="4319905"/>
            <wp:effectExtent l="0" t="0" r="8890" b="8255"/>
            <wp:docPr id="1" name="图片 1" descr="轴线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轴线图"/>
                    <pic:cNvPicPr>
                      <a:picLocks noChangeAspect="1"/>
                    </pic:cNvPicPr>
                  </pic:nvPicPr>
                  <pic:blipFill>
                    <a:blip r:embed="rId4"/>
                    <a:stretch>
                      <a:fillRect/>
                    </a:stretch>
                  </pic:blipFill>
                  <pic:spPr>
                    <a:xfrm>
                      <a:off x="0" y="0"/>
                      <a:ext cx="3054350" cy="4319905"/>
                    </a:xfrm>
                    <a:prstGeom prst="rect">
                      <a:avLst/>
                    </a:prstGeom>
                  </pic:spPr>
                </pic:pic>
              </a:graphicData>
            </a:graphic>
          </wp:inline>
        </w:drawing>
      </w:r>
    </w:p>
    <w:p w14:paraId="5860758E">
      <w:pPr>
        <w:pStyle w:val="5"/>
        <w:keepNext w:val="0"/>
        <w:keepLines w:val="0"/>
        <w:pageBreakBefore w:val="0"/>
        <w:tabs>
          <w:tab w:val="left" w:pos="1765"/>
        </w:tabs>
        <w:kinsoku/>
        <w:wordWrap/>
        <w:overflowPunct/>
        <w:topLinePunct w:val="0"/>
        <w:autoSpaceDE/>
        <w:autoSpaceDN/>
        <w:bidi w:val="0"/>
        <w:adjustRightInd/>
        <w:snapToGrid/>
        <w:ind w:firstLine="400" w:firstLineChars="200"/>
        <w:jc w:val="center"/>
        <w:textAlignment w:val="auto"/>
        <w:rPr>
          <w:rFonts w:hint="eastAsia" w:ascii="黑体" w:hAnsi="黑体" w:eastAsia="黑体" w:cs="黑体"/>
          <w:b/>
          <w:bCs/>
          <w:sz w:val="24"/>
          <w:szCs w:val="32"/>
          <w:lang w:val="en-US" w:eastAsia="zh-CN"/>
        </w:rPr>
      </w:pPr>
      <w:r>
        <w:t xml:space="preserve">图 </w:t>
      </w:r>
      <w:r>
        <w:fldChar w:fldCharType="begin"/>
      </w:r>
      <w:r>
        <w:instrText xml:space="preserve"> SEQ 图 \* ARABIC </w:instrText>
      </w:r>
      <w:r>
        <w:fldChar w:fldCharType="separate"/>
      </w:r>
      <w:r>
        <w:t>1</w:t>
      </w:r>
      <w:r>
        <w:fldChar w:fldCharType="end"/>
      </w:r>
      <w:r>
        <w:rPr>
          <w:rFonts w:hint="eastAsia"/>
          <w:lang w:val="en-US" w:eastAsia="zh-CN"/>
        </w:rPr>
        <w:t xml:space="preserve"> 轴线分析图</w:t>
      </w:r>
    </w:p>
    <w:p w14:paraId="6BD0ACB1">
      <w:pPr>
        <w:keepNext w:val="0"/>
        <w:keepLines w:val="0"/>
        <w:pageBreakBefore w:val="0"/>
        <w:numPr>
          <w:ilvl w:val="0"/>
          <w:numId w:val="1"/>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建筑设计深化</w:t>
      </w:r>
    </w:p>
    <w:p w14:paraId="193806E4">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模数化建构体系：“2米像素”</w:t>
      </w:r>
    </w:p>
    <w:p w14:paraId="645257F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通过整个建筑群基于2米×2米基本模数网格进行设计，实现从结构到空间的逻辑统一。理论上以人体工程学为依据结合实际市场上常规板材尺寸综合计算得出4000MMx6000MM单个方体模块更适合作为本次设计的模块化基础。</w:t>
      </w:r>
    </w:p>
    <w:p w14:paraId="20BF989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基本模块：4米×6米×4.2米，混凝土结构立方体。</w:t>
      </w:r>
    </w:p>
    <w:p w14:paraId="2BDA344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睡眠模块：含干湿分离卫浴，适合1-2人。</w:t>
      </w:r>
    </w:p>
    <w:p w14:paraId="38463C4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茶居模块：扩大观景面，内设榻榻米茶席，适合2-3人。</w:t>
      </w:r>
    </w:p>
    <w:p w14:paraId="3B861C6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连通模块：可横向或纵向拼接，形成家庭套房。</w:t>
      </w:r>
    </w:p>
    <w:p w14:paraId="08D50A7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组合逻辑：模块沿2米网格在三维方向上自由组合，通过悬挑、错位、旋转，形成丰富的室外露台、架空层和半围合庭院。8个簇群分别以“武夷八曲”命名，各自拥有独特的组合形态和观景主题。</w:t>
      </w:r>
    </w:p>
    <w:p w14:paraId="7E4BC8DE">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pPr>
      <w:r>
        <w:drawing>
          <wp:inline distT="0" distB="0" distL="114300" distR="114300">
            <wp:extent cx="4133215" cy="1800225"/>
            <wp:effectExtent l="0" t="0" r="12065" b="13335"/>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5"/>
                    <a:srcRect t="5528"/>
                    <a:stretch>
                      <a:fillRect/>
                    </a:stretch>
                  </pic:blipFill>
                  <pic:spPr>
                    <a:xfrm>
                      <a:off x="0" y="0"/>
                      <a:ext cx="4133215" cy="1800225"/>
                    </a:xfrm>
                    <a:prstGeom prst="rect">
                      <a:avLst/>
                    </a:prstGeom>
                    <a:noFill/>
                    <a:ln>
                      <a:noFill/>
                    </a:ln>
                  </pic:spPr>
                </pic:pic>
              </a:graphicData>
            </a:graphic>
          </wp:inline>
        </w:drawing>
      </w:r>
    </w:p>
    <w:p w14:paraId="4C37C9DD">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eastAsia" w:ascii="宋体" w:hAnsi="宋体" w:eastAsia="宋体" w:cs="宋体"/>
          <w:b w:val="0"/>
          <w:bCs w:val="0"/>
          <w:sz w:val="24"/>
          <w:szCs w:val="32"/>
          <w:lang w:val="en-US" w:eastAsia="zh-CN"/>
        </w:rPr>
      </w:pPr>
      <w:r>
        <w:t xml:space="preserve">图 </w:t>
      </w:r>
      <w:r>
        <w:rPr>
          <w:rFonts w:hint="eastAsia"/>
          <w:lang w:val="en-US" w:eastAsia="zh-CN"/>
        </w:rPr>
        <w:t>2模数化设计分析图</w:t>
      </w:r>
    </w:p>
    <w:p w14:paraId="26464D79">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自适应外立面系统</w:t>
      </w:r>
    </w:p>
    <w:p w14:paraId="5FBCB1F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构造组成：立面由固定玻璃窗与外侧的可变角度太阳能遮阳板组成。</w:t>
      </w:r>
    </w:p>
    <w:p w14:paraId="3D6EE40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材料选择：遮阳板采用轻质铝合金边框，中间嵌入柔性薄膜光伏电池片。</w:t>
      </w:r>
    </w:p>
    <w:p w14:paraId="13D9B47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b/>
          <w:bCs/>
          <w:sz w:val="24"/>
          <w:szCs w:val="32"/>
          <w:lang w:val="en-US" w:eastAsia="zh-CN"/>
        </w:rPr>
      </w:pPr>
      <w:r>
        <w:rPr>
          <w:rFonts w:hint="eastAsia" w:ascii="宋体" w:hAnsi="宋体" w:eastAsia="宋体" w:cs="宋体"/>
          <w:b w:val="0"/>
          <w:bCs w:val="0"/>
          <w:sz w:val="24"/>
          <w:szCs w:val="32"/>
          <w:lang w:val="en-US" w:eastAsia="zh-CN"/>
        </w:rPr>
        <w:t>智能控制：基于太阳轨迹算法和室内照度传感器，遮阳板可自动调节叶片角度。夏季遮挡强光并最大化发电；冬季开启角度让阳光进入室内被动采暖。</w:t>
      </w:r>
    </w:p>
    <w:p w14:paraId="753FAEF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 xml:space="preserve">美学效果：遮阳板阵列形成“动态像素墙”，使建筑表情随日照和时间流转而变化，实现功能（发电/遮阳）与美学（光影/质感）的统一。  </w:t>
      </w:r>
    </w:p>
    <w:p w14:paraId="3921F4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center"/>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drawing>
          <wp:inline distT="0" distB="0" distL="114300" distR="114300">
            <wp:extent cx="2334260" cy="1800225"/>
            <wp:effectExtent l="0" t="0" r="12700" b="13335"/>
            <wp:docPr id="3" name="图片 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1"/>
                    <pic:cNvPicPr>
                      <a:picLocks noChangeAspect="1"/>
                    </pic:cNvPicPr>
                  </pic:nvPicPr>
                  <pic:blipFill>
                    <a:blip r:embed="rId6"/>
                    <a:stretch>
                      <a:fillRect/>
                    </a:stretch>
                  </pic:blipFill>
                  <pic:spPr>
                    <a:xfrm>
                      <a:off x="0" y="0"/>
                      <a:ext cx="2334260" cy="1800225"/>
                    </a:xfrm>
                    <a:prstGeom prst="rect">
                      <a:avLst/>
                    </a:prstGeom>
                  </pic:spPr>
                </pic:pic>
              </a:graphicData>
            </a:graphic>
          </wp:inline>
        </w:drawing>
      </w:r>
    </w:p>
    <w:p w14:paraId="17C1AC63">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eastAsia" w:ascii="黑体" w:hAnsi="黑体" w:eastAsia="黑体" w:cs="黑体"/>
          <w:b/>
          <w:bCs/>
          <w:sz w:val="24"/>
          <w:szCs w:val="32"/>
          <w:lang w:val="en-US" w:eastAsia="zh-CN"/>
        </w:rPr>
      </w:pPr>
      <w:r>
        <w:t xml:space="preserve">图 </w:t>
      </w:r>
      <w:r>
        <w:rPr>
          <w:rFonts w:hint="eastAsia"/>
          <w:lang w:val="en-US" w:eastAsia="zh-CN"/>
        </w:rPr>
        <w:t>3局部效果图</w:t>
      </w:r>
    </w:p>
    <w:p w14:paraId="0049C8A6">
      <w:pPr>
        <w:keepNext w:val="0"/>
        <w:keepLines w:val="0"/>
        <w:pageBreakBefore w:val="0"/>
        <w:numPr>
          <w:ilvl w:val="0"/>
          <w:numId w:val="1"/>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生态低碳技术专项</w:t>
      </w:r>
    </w:p>
    <w:p w14:paraId="357E0D0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kern w:val="2"/>
          <w:sz w:val="24"/>
          <w:szCs w:val="32"/>
          <w:lang w:val="en-US" w:eastAsia="zh-CN" w:bidi="ar-SA"/>
        </w:rPr>
        <w:t>（一）</w:t>
      </w:r>
      <w:r>
        <w:rPr>
          <w:rFonts w:hint="eastAsia" w:ascii="黑体" w:hAnsi="黑体" w:eastAsia="黑体" w:cs="黑体"/>
          <w:b/>
          <w:bCs/>
          <w:sz w:val="24"/>
          <w:szCs w:val="32"/>
          <w:lang w:val="en-US" w:eastAsia="zh-CN"/>
        </w:rPr>
        <w:t>可再生能源利用</w:t>
      </w:r>
    </w:p>
    <w:p w14:paraId="1C5C0341">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光能利用设计（建筑光伏一体化BIPV创新应用）</w:t>
      </w:r>
    </w:p>
    <w:p w14:paraId="5545DB3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BIPV光伏遮阳构件采用模块化设计，与模块化房间的窗户模数、立面结构精准匹配，可灵活适配山地坡地的错层、吊脚布局，运输与安装便捷；渗井系统依托溪流优化布局，节省占地，适配山地有限的场地资源，且不破坏山体地质与溪流生态。</w:t>
      </w:r>
    </w:p>
    <w:p w14:paraId="6D7D4D9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系统自动识别朝向、太阳角度调整遮阳方式水平遮阳布置：结合窗户应用于模块化各立面。间距与窗户模数一致，形成规整的立面肌理。可变化遮阳形态：适配山地不同朝向的采光与隔热需求。</w:t>
      </w:r>
    </w:p>
    <w:p w14:paraId="3593905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drawing>
          <wp:inline distT="0" distB="0" distL="114300" distR="114300">
            <wp:extent cx="2985770" cy="1800225"/>
            <wp:effectExtent l="0" t="0" r="1270" b="13335"/>
            <wp:docPr id="2" name="图片 2" descr="实施方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实施方案"/>
                    <pic:cNvPicPr>
                      <a:picLocks noChangeAspect="1"/>
                    </pic:cNvPicPr>
                  </pic:nvPicPr>
                  <pic:blipFill>
                    <a:blip r:embed="rId7"/>
                    <a:stretch>
                      <a:fillRect/>
                    </a:stretch>
                  </pic:blipFill>
                  <pic:spPr>
                    <a:xfrm>
                      <a:off x="0" y="0"/>
                      <a:ext cx="2985770" cy="1800225"/>
                    </a:xfrm>
                    <a:prstGeom prst="rect">
                      <a:avLst/>
                    </a:prstGeom>
                  </pic:spPr>
                </pic:pic>
              </a:graphicData>
            </a:graphic>
          </wp:inline>
        </w:drawing>
      </w:r>
    </w:p>
    <w:p w14:paraId="1D9315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黑体" w:hAnsi="黑体" w:eastAsia="黑体" w:cs="黑体"/>
          <w:b w:val="0"/>
          <w:bCs w:val="0"/>
          <w:sz w:val="20"/>
          <w:szCs w:val="20"/>
          <w:lang w:val="en-US" w:eastAsia="zh-CN"/>
        </w:rPr>
      </w:pPr>
      <w:r>
        <w:rPr>
          <w:rFonts w:hint="eastAsia" w:ascii="黑体" w:hAnsi="黑体" w:eastAsia="黑体" w:cs="黑体"/>
          <w:b w:val="0"/>
          <w:bCs w:val="0"/>
          <w:sz w:val="20"/>
          <w:szCs w:val="20"/>
          <w:lang w:val="en-US" w:eastAsia="zh-CN"/>
        </w:rPr>
        <w:t>图4光伏遮阳构件大样及遮阳方式</w:t>
      </w:r>
    </w:p>
    <w:p w14:paraId="032FB59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光伏板选用高效单晶硅光伏组件，转换效率≥22%，适配武夷山地区太阳辐射条件（冬季日均辐照量约3.5kWh/（㎡·d）），具体工作机制如下：</w:t>
      </w:r>
    </w:p>
    <w:p w14:paraId="237AA9E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遮阳隔热：光伏板作为遮阳构件，可有效遮挡夏季直射阳光，减少太阳辐射进入室内，配合高性能窗户（LOW-E中空玻璃，U值≤1.8W/(m²·K)，遮阳系数Sc=0.35），实现自然采光与隔热的平衡，降低室内冷负荷，减少空调系统能耗，与双层嵌管墙系统协同提升节能效果。</w:t>
      </w:r>
    </w:p>
    <w:p w14:paraId="652F3D5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 xml:space="preserve"> 清洁能源发电：光伏板将太阳能转化为电能，通过逆变器转换为工频交流电，直接为建筑内用电设备供电，包括智能控制系统、新风系统、照明系统及热泵辅助设备等，剩余电能可并入储能装置储存，减少对城市电网的依赖，实现清洁能源自给自足。</w:t>
      </w:r>
    </w:p>
    <w:p w14:paraId="105FD858">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水能利用设计（地表水源热泵+渗井取水系统）</w:t>
      </w:r>
    </w:p>
    <w:p w14:paraId="2CD896F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本项目依托武夷山庙湾山地的溪流资源，采用地表水源热泵结合渗井取水方式，将地表水（溪流）作为水能资源高效利用，与光能系统协同，构建完整的可再生能源供能体系，具体设计如下：</w:t>
      </w:r>
    </w:p>
    <w:p w14:paraId="38BF278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（1）渗井取水系统设计</w:t>
      </w:r>
    </w:p>
    <w:p w14:paraId="04A65D7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渗井系统依托场地溪流优化布局，采用“渗水井+集水过滤池+回流系统”的一体化设计，既保证取水效率，又减少对溪流生态的影响，具体参数与配置如下：</w:t>
      </w:r>
    </w:p>
    <w:p w14:paraId="22BA3A6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40" w:firstLineChars="200"/>
        <w:jc w:val="center"/>
        <w:textAlignment w:val="auto"/>
        <w:rPr>
          <w:rFonts w:hint="eastAsia" w:ascii="宋体" w:hAnsi="宋体" w:eastAsia="宋体" w:cs="宋体"/>
          <w:b w:val="0"/>
          <w:bCs w:val="0"/>
          <w:sz w:val="22"/>
          <w:szCs w:val="28"/>
          <w:lang w:val="en-US" w:eastAsia="zh-CN"/>
        </w:rPr>
      </w:pPr>
    </w:p>
    <w:p w14:paraId="1FE734E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40" w:firstLineChars="200"/>
        <w:jc w:val="center"/>
        <w:textAlignment w:val="auto"/>
        <w:rPr>
          <w:rFonts w:hint="eastAsia" w:ascii="宋体" w:hAnsi="宋体" w:eastAsia="宋体" w:cs="宋体"/>
          <w:b w:val="0"/>
          <w:bCs w:val="0"/>
          <w:sz w:val="22"/>
          <w:szCs w:val="28"/>
          <w:lang w:val="en-US" w:eastAsia="zh-CN"/>
        </w:rPr>
      </w:pPr>
    </w:p>
    <w:p w14:paraId="4F805EF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40" w:firstLineChars="200"/>
        <w:jc w:val="center"/>
        <w:textAlignment w:val="auto"/>
        <w:rPr>
          <w:rFonts w:hint="eastAsia" w:ascii="宋体" w:hAnsi="宋体" w:eastAsia="宋体" w:cs="宋体"/>
          <w:b w:val="0"/>
          <w:bCs w:val="0"/>
          <w:sz w:val="22"/>
          <w:szCs w:val="28"/>
          <w:lang w:val="en-US" w:eastAsia="zh-CN"/>
        </w:rPr>
      </w:pPr>
    </w:p>
    <w:p w14:paraId="10AC0B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40" w:firstLineChars="200"/>
        <w:jc w:val="center"/>
        <w:textAlignment w:val="auto"/>
        <w:rPr>
          <w:rFonts w:hint="eastAsia" w:ascii="宋体" w:hAnsi="宋体" w:eastAsia="宋体" w:cs="宋体"/>
          <w:b w:val="0"/>
          <w:bCs w:val="0"/>
          <w:sz w:val="22"/>
          <w:szCs w:val="28"/>
          <w:lang w:val="en-US" w:eastAsia="zh-CN"/>
        </w:rPr>
      </w:pPr>
      <w:r>
        <w:rPr>
          <w:rFonts w:hint="eastAsia" w:ascii="宋体" w:hAnsi="宋体" w:eastAsia="宋体" w:cs="宋体"/>
          <w:b w:val="0"/>
          <w:bCs w:val="0"/>
          <w:sz w:val="22"/>
          <w:szCs w:val="28"/>
          <w:lang w:val="en-US" w:eastAsia="zh-CN"/>
        </w:rPr>
        <w:t>表1渗井取水系统具体参数与配置</w:t>
      </w:r>
    </w:p>
    <w:tbl>
      <w:tblPr>
        <w:tblStyle w:val="7"/>
        <w:tblW w:w="0" w:type="auto"/>
        <w:tblInd w:w="0" w:type="dxa"/>
        <w:tblBorders>
          <w:top w:val="none" w:color="auto" w:sz="0" w:space="0"/>
          <w:left w:val="single" w:color="auto" w:sz="2" w:space="0"/>
          <w:bottom w:val="single" w:color="auto" w:sz="2" w:space="0"/>
          <w:right w:val="single" w:color="auto" w:sz="2" w:space="0"/>
          <w:insideH w:val="none" w:color="auto" w:sz="0" w:space="0"/>
          <w:insideV w:val="none" w:color="auto" w:sz="0" w:space="0"/>
        </w:tblBorders>
        <w:shd w:val="clear" w:color="auto" w:fill="FFFFFF"/>
        <w:tblLayout w:type="autofit"/>
        <w:tblCellMar>
          <w:top w:w="0" w:type="dxa"/>
          <w:left w:w="0" w:type="dxa"/>
          <w:bottom w:w="0" w:type="dxa"/>
          <w:right w:w="0" w:type="dxa"/>
        </w:tblCellMar>
      </w:tblPr>
      <w:tblGrid>
        <w:gridCol w:w="1206"/>
        <w:gridCol w:w="1870"/>
        <w:gridCol w:w="4082"/>
        <w:gridCol w:w="2071"/>
      </w:tblGrid>
      <w:tr w14:paraId="6566DC4E">
        <w:tblPrEx>
          <w:tblBorders>
            <w:top w:val="none" w:color="auto" w:sz="0" w:space="0"/>
            <w:left w:val="single" w:color="auto" w:sz="2" w:space="0"/>
            <w:bottom w:val="single" w:color="auto" w:sz="2" w:space="0"/>
            <w:right w:val="single" w:color="auto" w:sz="2" w:space="0"/>
            <w:insideH w:val="none" w:color="auto" w:sz="0" w:space="0"/>
            <w:insideV w:val="none" w:color="auto" w:sz="0" w:space="0"/>
          </w:tblBorders>
          <w:shd w:val="clear" w:color="auto" w:fill="FFFFFF"/>
          <w:tblCellMar>
            <w:top w:w="0" w:type="dxa"/>
            <w:left w:w="0" w:type="dxa"/>
            <w:bottom w:w="0" w:type="dxa"/>
            <w:right w:w="0" w:type="dxa"/>
          </w:tblCellMar>
        </w:tblPrEx>
        <w:trPr>
          <w:trHeight w:val="880" w:hRule="atLeast"/>
          <w:tblHeader/>
        </w:trPr>
        <w:tc>
          <w:tcPr>
            <w:tcW w:w="1206" w:type="dxa"/>
            <w:tcBorders>
              <w:top w:val="nil"/>
              <w:left w:val="nil"/>
              <w:bottom w:val="nil"/>
              <w:right w:val="nil"/>
            </w:tcBorders>
            <w:shd w:val="clear" w:color="auto" w:fill="auto"/>
            <w:noWrap w:val="0"/>
            <w:tcMar>
              <w:top w:w="180" w:type="dxa"/>
              <w:left w:w="270" w:type="dxa"/>
              <w:bottom w:w="180" w:type="dxa"/>
              <w:right w:w="270" w:type="dxa"/>
            </w:tcMar>
            <w:vAlign w:val="center"/>
          </w:tcPr>
          <w:p w14:paraId="5ABD9D96">
            <w:pPr>
              <w:keepNext w:val="0"/>
              <w:keepLines w:val="0"/>
              <w:pageBreakBefore w:val="0"/>
              <w:widowControl/>
              <w:kinsoku/>
              <w:wordWrap/>
              <w:overflowPunct/>
              <w:topLinePunct w:val="0"/>
              <w:autoSpaceDE/>
              <w:autoSpaceDN/>
              <w:bidi w:val="0"/>
              <w:adjustRightInd/>
              <w:snapToGrid/>
              <w:spacing w:line="420" w:lineRule="atLeast"/>
              <w:ind w:firstLine="422" w:firstLineChars="200"/>
              <w:jc w:val="center"/>
              <w:textAlignment w:val="auto"/>
              <w:rPr>
                <w:rFonts w:hint="eastAsia" w:ascii="宋体" w:hAnsi="宋体" w:eastAsia="宋体" w:cs="宋体"/>
                <w:b/>
                <w:bCs/>
                <w:color w:val="000000"/>
                <w:sz w:val="21"/>
                <w:szCs w:val="21"/>
              </w:rPr>
            </w:pPr>
          </w:p>
        </w:tc>
        <w:tc>
          <w:tcPr>
            <w:tcW w:w="1870" w:type="dxa"/>
            <w:tcBorders>
              <w:top w:val="nil"/>
              <w:left w:val="nil"/>
              <w:bottom w:val="nil"/>
              <w:right w:val="nil"/>
            </w:tcBorders>
            <w:shd w:val="clear" w:color="auto" w:fill="auto"/>
            <w:noWrap w:val="0"/>
            <w:tcMar>
              <w:top w:w="180" w:type="dxa"/>
              <w:left w:w="270" w:type="dxa"/>
              <w:bottom w:w="180" w:type="dxa"/>
              <w:right w:w="270" w:type="dxa"/>
            </w:tcMar>
            <w:vAlign w:val="center"/>
          </w:tcPr>
          <w:p w14:paraId="677471BC">
            <w:pPr>
              <w:keepNext w:val="0"/>
              <w:keepLines w:val="0"/>
              <w:pageBreakBefore w:val="0"/>
              <w:widowControl/>
              <w:kinsoku/>
              <w:wordWrap/>
              <w:overflowPunct/>
              <w:topLinePunct w:val="0"/>
              <w:autoSpaceDE/>
              <w:autoSpaceDN/>
              <w:bidi w:val="0"/>
              <w:adjustRightInd/>
              <w:snapToGrid/>
              <w:spacing w:line="420" w:lineRule="atLeast"/>
              <w:ind w:firstLine="422" w:firstLineChars="200"/>
              <w:jc w:val="center"/>
              <w:textAlignment w:val="auto"/>
              <w:rPr>
                <w:rFonts w:hint="eastAsia" w:ascii="宋体" w:hAnsi="宋体" w:eastAsia="宋体" w:cs="宋体"/>
                <w:b/>
                <w:bCs/>
                <w:color w:val="000000"/>
                <w:sz w:val="21"/>
                <w:szCs w:val="21"/>
              </w:rPr>
            </w:pPr>
            <w:r>
              <w:rPr>
                <w:rFonts w:hint="eastAsia" w:ascii="宋体" w:hAnsi="宋体" w:eastAsia="宋体" w:cs="宋体"/>
                <w:b/>
                <w:bCs/>
                <w:color w:val="000000"/>
                <w:kern w:val="0"/>
                <w:sz w:val="21"/>
                <w:szCs w:val="21"/>
                <w:lang w:bidi="ar"/>
              </w:rPr>
              <w:t>占地面积范围（㎡）</w:t>
            </w:r>
          </w:p>
        </w:tc>
        <w:tc>
          <w:tcPr>
            <w:tcW w:w="4082" w:type="dxa"/>
            <w:tcBorders>
              <w:top w:val="nil"/>
              <w:left w:val="nil"/>
              <w:bottom w:val="nil"/>
              <w:right w:val="nil"/>
            </w:tcBorders>
            <w:shd w:val="clear" w:color="auto" w:fill="auto"/>
            <w:noWrap w:val="0"/>
            <w:tcMar>
              <w:top w:w="180" w:type="dxa"/>
              <w:left w:w="270" w:type="dxa"/>
              <w:bottom w:w="180" w:type="dxa"/>
              <w:right w:w="270" w:type="dxa"/>
            </w:tcMar>
            <w:vAlign w:val="center"/>
          </w:tcPr>
          <w:p w14:paraId="7C655ED4">
            <w:pPr>
              <w:keepNext w:val="0"/>
              <w:keepLines w:val="0"/>
              <w:pageBreakBefore w:val="0"/>
              <w:widowControl/>
              <w:kinsoku/>
              <w:wordWrap/>
              <w:overflowPunct/>
              <w:topLinePunct w:val="0"/>
              <w:autoSpaceDE/>
              <w:autoSpaceDN/>
              <w:bidi w:val="0"/>
              <w:adjustRightInd/>
              <w:snapToGrid/>
              <w:spacing w:line="420" w:lineRule="atLeast"/>
              <w:ind w:firstLine="422" w:firstLineChars="200"/>
              <w:jc w:val="center"/>
              <w:textAlignment w:val="auto"/>
              <w:rPr>
                <w:rFonts w:hint="eastAsia" w:ascii="宋体" w:hAnsi="宋体" w:eastAsia="宋体" w:cs="宋体"/>
                <w:b/>
                <w:bCs/>
                <w:color w:val="000000"/>
                <w:sz w:val="21"/>
                <w:szCs w:val="21"/>
              </w:rPr>
            </w:pPr>
            <w:r>
              <w:rPr>
                <w:rFonts w:hint="eastAsia" w:ascii="宋体" w:hAnsi="宋体" w:eastAsia="宋体" w:cs="宋体"/>
                <w:b/>
                <w:bCs/>
                <w:color w:val="000000"/>
                <w:kern w:val="0"/>
                <w:sz w:val="21"/>
                <w:szCs w:val="21"/>
                <w:lang w:bidi="ar"/>
              </w:rPr>
              <w:t>核心组成部分</w:t>
            </w:r>
          </w:p>
        </w:tc>
        <w:tc>
          <w:tcPr>
            <w:tcW w:w="2071" w:type="dxa"/>
            <w:tcBorders>
              <w:top w:val="nil"/>
              <w:left w:val="nil"/>
              <w:bottom w:val="nil"/>
              <w:right w:val="nil"/>
            </w:tcBorders>
            <w:shd w:val="clear" w:color="auto" w:fill="auto"/>
            <w:noWrap w:val="0"/>
            <w:tcMar>
              <w:top w:w="180" w:type="dxa"/>
              <w:left w:w="270" w:type="dxa"/>
              <w:bottom w:w="180" w:type="dxa"/>
              <w:right w:w="270" w:type="dxa"/>
            </w:tcMar>
            <w:vAlign w:val="center"/>
          </w:tcPr>
          <w:p w14:paraId="76118BDC">
            <w:pPr>
              <w:keepNext w:val="0"/>
              <w:keepLines w:val="0"/>
              <w:pageBreakBefore w:val="0"/>
              <w:widowControl/>
              <w:kinsoku/>
              <w:wordWrap/>
              <w:overflowPunct/>
              <w:topLinePunct w:val="0"/>
              <w:autoSpaceDE/>
              <w:autoSpaceDN/>
              <w:bidi w:val="0"/>
              <w:adjustRightInd/>
              <w:snapToGrid/>
              <w:spacing w:line="420" w:lineRule="atLeast"/>
              <w:ind w:firstLine="422" w:firstLineChars="200"/>
              <w:jc w:val="center"/>
              <w:textAlignment w:val="auto"/>
              <w:rPr>
                <w:rFonts w:hint="eastAsia" w:ascii="宋体" w:hAnsi="宋体" w:eastAsia="宋体" w:cs="宋体"/>
                <w:b/>
                <w:bCs/>
                <w:color w:val="000000"/>
                <w:sz w:val="21"/>
                <w:szCs w:val="21"/>
              </w:rPr>
            </w:pPr>
            <w:r>
              <w:rPr>
                <w:rFonts w:hint="eastAsia" w:ascii="宋体" w:hAnsi="宋体" w:eastAsia="宋体" w:cs="宋体"/>
                <w:b/>
                <w:bCs/>
                <w:color w:val="000000"/>
                <w:kern w:val="0"/>
                <w:sz w:val="21"/>
                <w:szCs w:val="21"/>
                <w:lang w:bidi="ar"/>
              </w:rPr>
              <w:t>备注</w:t>
            </w:r>
          </w:p>
        </w:tc>
      </w:tr>
      <w:tr w14:paraId="064B54FD">
        <w:tblPrEx>
          <w:tblBorders>
            <w:top w:val="single" w:color="auto" w:sz="6"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c>
          <w:tcPr>
            <w:tcW w:w="1206" w:type="dxa"/>
            <w:tcBorders>
              <w:top w:val="single" w:color="000000" w:sz="12" w:space="0"/>
              <w:left w:val="nil"/>
              <w:bottom w:val="single" w:color="000000" w:sz="4" w:space="0"/>
              <w:right w:val="nil"/>
              <w:tl2br w:val="nil"/>
            </w:tcBorders>
            <w:shd w:val="clear" w:color="auto" w:fill="FFFFFF"/>
            <w:noWrap w:val="0"/>
            <w:tcMar>
              <w:top w:w="180" w:type="dxa"/>
              <w:left w:w="270" w:type="dxa"/>
              <w:bottom w:w="180" w:type="dxa"/>
              <w:right w:w="270" w:type="dxa"/>
            </w:tcMar>
            <w:vAlign w:val="center"/>
          </w:tcPr>
          <w:p w14:paraId="45C2E0DD">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溪流渗井 + 水循环回流系统</w:t>
            </w:r>
          </w:p>
        </w:tc>
        <w:tc>
          <w:tcPr>
            <w:tcW w:w="1870" w:type="dxa"/>
            <w:tcBorders>
              <w:top w:val="single" w:color="000000" w:sz="12" w:space="0"/>
              <w:left w:val="nil"/>
              <w:bottom w:val="single" w:color="000000" w:sz="4" w:space="0"/>
              <w:right w:val="nil"/>
            </w:tcBorders>
            <w:shd w:val="clear" w:color="auto" w:fill="FFFFFF"/>
            <w:noWrap w:val="0"/>
            <w:tcMar>
              <w:top w:w="180" w:type="dxa"/>
              <w:left w:w="270" w:type="dxa"/>
              <w:bottom w:w="180" w:type="dxa"/>
              <w:right w:w="270" w:type="dxa"/>
            </w:tcMar>
            <w:vAlign w:val="center"/>
          </w:tcPr>
          <w:p w14:paraId="73465F07">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142-192</w:t>
            </w:r>
          </w:p>
        </w:tc>
        <w:tc>
          <w:tcPr>
            <w:tcW w:w="4082" w:type="dxa"/>
            <w:tcBorders>
              <w:top w:val="single" w:color="000000" w:sz="12" w:space="0"/>
              <w:left w:val="nil"/>
              <w:bottom w:val="single" w:color="000000" w:sz="4" w:space="0"/>
              <w:right w:val="nil"/>
            </w:tcBorders>
            <w:shd w:val="clear" w:color="auto" w:fill="FFFFFF"/>
            <w:noWrap w:val="0"/>
            <w:tcMar>
              <w:top w:w="180" w:type="dxa"/>
              <w:left w:w="270" w:type="dxa"/>
              <w:bottom w:w="180" w:type="dxa"/>
              <w:right w:w="270" w:type="dxa"/>
            </w:tcMar>
            <w:vAlign w:val="center"/>
          </w:tcPr>
          <w:p w14:paraId="181CEAC1">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渗水井、集水过滤池、检修通道、溢流设施、回流井 / 渠、回流泵组、过滤消毒装置、流量监测设备</w:t>
            </w:r>
          </w:p>
        </w:tc>
        <w:tc>
          <w:tcPr>
            <w:tcW w:w="2071" w:type="dxa"/>
            <w:tcBorders>
              <w:top w:val="single" w:color="000000" w:sz="12" w:space="0"/>
              <w:left w:val="nil"/>
              <w:bottom w:val="single" w:color="000000" w:sz="4" w:space="0"/>
              <w:right w:val="nil"/>
            </w:tcBorders>
            <w:shd w:val="clear" w:color="auto" w:fill="FFFFFF"/>
            <w:noWrap w:val="0"/>
            <w:tcMar>
              <w:top w:w="180" w:type="dxa"/>
              <w:left w:w="270" w:type="dxa"/>
              <w:bottom w:w="180" w:type="dxa"/>
              <w:right w:w="270" w:type="dxa"/>
            </w:tcMar>
            <w:vAlign w:val="center"/>
          </w:tcPr>
          <w:p w14:paraId="33429EE2">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依托溪流优化布局，较常规渗井系统节省 40%-50% 占地</w:t>
            </w:r>
          </w:p>
        </w:tc>
      </w:tr>
      <w:tr w14:paraId="2CA46F83">
        <w:tblPrEx>
          <w:tblBorders>
            <w:top w:val="single" w:color="auto" w:sz="6"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c>
          <w:tcPr>
            <w:tcW w:w="1206" w:type="dxa"/>
            <w:tcBorders>
              <w:top w:val="single" w:color="000000" w:sz="4" w:space="0"/>
              <w:left w:val="nil"/>
              <w:bottom w:val="nil"/>
              <w:right w:val="nil"/>
            </w:tcBorders>
            <w:shd w:val="clear" w:color="auto" w:fill="FFFFFF"/>
            <w:noWrap w:val="0"/>
            <w:tcMar>
              <w:top w:w="180" w:type="dxa"/>
              <w:left w:w="270" w:type="dxa"/>
              <w:bottom w:w="180" w:type="dxa"/>
              <w:right w:w="270" w:type="dxa"/>
            </w:tcMar>
            <w:vAlign w:val="center"/>
          </w:tcPr>
          <w:p w14:paraId="02A8CCDC">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太阳能集热系统</w:t>
            </w:r>
          </w:p>
        </w:tc>
        <w:tc>
          <w:tcPr>
            <w:tcW w:w="1870" w:type="dxa"/>
            <w:tcBorders>
              <w:top w:val="single" w:color="000000" w:sz="4" w:space="0"/>
              <w:left w:val="nil"/>
              <w:bottom w:val="nil"/>
              <w:right w:val="nil"/>
            </w:tcBorders>
            <w:shd w:val="clear" w:color="auto" w:fill="FFFFFF"/>
            <w:noWrap w:val="0"/>
            <w:tcMar>
              <w:top w:w="180" w:type="dxa"/>
              <w:left w:w="270" w:type="dxa"/>
              <w:bottom w:w="180" w:type="dxa"/>
              <w:right w:w="270" w:type="dxa"/>
            </w:tcMar>
            <w:vAlign w:val="center"/>
          </w:tcPr>
          <w:p w14:paraId="5AB74219">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180-225</w:t>
            </w:r>
          </w:p>
        </w:tc>
        <w:tc>
          <w:tcPr>
            <w:tcW w:w="4082" w:type="dxa"/>
            <w:tcBorders>
              <w:top w:val="single" w:color="000000" w:sz="4" w:space="0"/>
              <w:left w:val="nil"/>
              <w:bottom w:val="nil"/>
              <w:right w:val="nil"/>
            </w:tcBorders>
            <w:shd w:val="clear" w:color="auto" w:fill="FFFFFF"/>
            <w:noWrap w:val="0"/>
            <w:tcMar>
              <w:top w:w="180" w:type="dxa"/>
              <w:left w:w="270" w:type="dxa"/>
              <w:bottom w:w="180" w:type="dxa"/>
              <w:right w:w="270" w:type="dxa"/>
            </w:tcMar>
            <w:vAlign w:val="center"/>
          </w:tcPr>
          <w:p w14:paraId="41E338C6">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平板式集热器及维护空间</w:t>
            </w:r>
          </w:p>
        </w:tc>
        <w:tc>
          <w:tcPr>
            <w:tcW w:w="2071" w:type="dxa"/>
            <w:tcBorders>
              <w:top w:val="single" w:color="000000" w:sz="4" w:space="0"/>
              <w:left w:val="nil"/>
              <w:bottom w:val="nil"/>
              <w:right w:val="nil"/>
            </w:tcBorders>
            <w:shd w:val="clear" w:color="auto" w:fill="FFFFFF"/>
            <w:noWrap w:val="0"/>
            <w:tcMar>
              <w:top w:w="180" w:type="dxa"/>
              <w:left w:w="270" w:type="dxa"/>
              <w:bottom w:w="180" w:type="dxa"/>
              <w:right w:w="270" w:type="dxa"/>
            </w:tcMar>
            <w:vAlign w:val="center"/>
          </w:tcPr>
          <w:p w14:paraId="726AB992">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屋顶安装时，集热器本体面积不计入地面占地；</w:t>
            </w:r>
          </w:p>
        </w:tc>
      </w:tr>
      <w:tr w14:paraId="24FBBFA3">
        <w:tblPrEx>
          <w:tblBorders>
            <w:top w:val="single" w:color="auto" w:sz="6"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c>
          <w:tcPr>
            <w:tcW w:w="1206" w:type="dxa"/>
            <w:tcBorders>
              <w:top w:val="nil"/>
              <w:left w:val="nil"/>
              <w:bottom w:val="nil"/>
              <w:right w:val="nil"/>
            </w:tcBorders>
            <w:shd w:val="clear" w:color="auto" w:fill="FFFFFF"/>
            <w:noWrap w:val="0"/>
            <w:tcMar>
              <w:top w:w="180" w:type="dxa"/>
              <w:left w:w="270" w:type="dxa"/>
              <w:bottom w:w="180" w:type="dxa"/>
              <w:right w:w="270" w:type="dxa"/>
            </w:tcMar>
            <w:vAlign w:val="center"/>
          </w:tcPr>
          <w:p w14:paraId="5EDD1A5A">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热泵机房系统</w:t>
            </w:r>
          </w:p>
        </w:tc>
        <w:tc>
          <w:tcPr>
            <w:tcW w:w="1870" w:type="dxa"/>
            <w:tcBorders>
              <w:top w:val="nil"/>
              <w:left w:val="nil"/>
              <w:bottom w:val="nil"/>
              <w:right w:val="nil"/>
            </w:tcBorders>
            <w:shd w:val="clear" w:color="auto" w:fill="FFFFFF"/>
            <w:noWrap w:val="0"/>
            <w:tcMar>
              <w:top w:w="180" w:type="dxa"/>
              <w:left w:w="270" w:type="dxa"/>
              <w:bottom w:w="180" w:type="dxa"/>
              <w:right w:w="270" w:type="dxa"/>
            </w:tcMar>
            <w:vAlign w:val="center"/>
          </w:tcPr>
          <w:p w14:paraId="3228F0B2">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30-40</w:t>
            </w:r>
          </w:p>
        </w:tc>
        <w:tc>
          <w:tcPr>
            <w:tcW w:w="4082" w:type="dxa"/>
            <w:tcBorders>
              <w:top w:val="nil"/>
              <w:left w:val="nil"/>
              <w:bottom w:val="nil"/>
              <w:right w:val="nil"/>
            </w:tcBorders>
            <w:shd w:val="clear" w:color="auto" w:fill="FFFFFF"/>
            <w:noWrap w:val="0"/>
            <w:tcMar>
              <w:top w:w="180" w:type="dxa"/>
              <w:left w:w="270" w:type="dxa"/>
              <w:bottom w:w="180" w:type="dxa"/>
              <w:right w:w="270" w:type="dxa"/>
            </w:tcMar>
            <w:vAlign w:val="center"/>
          </w:tcPr>
          <w:p w14:paraId="33F0E5DD">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一体式水源热泵机组、循环水泵、控制柜、阀门等辅助设备</w:t>
            </w:r>
          </w:p>
        </w:tc>
        <w:tc>
          <w:tcPr>
            <w:tcW w:w="2071" w:type="dxa"/>
            <w:tcBorders>
              <w:top w:val="nil"/>
              <w:left w:val="nil"/>
              <w:bottom w:val="nil"/>
              <w:right w:val="nil"/>
            </w:tcBorders>
            <w:shd w:val="clear" w:color="auto" w:fill="FFFFFF"/>
            <w:noWrap w:val="0"/>
            <w:tcMar>
              <w:top w:w="180" w:type="dxa"/>
              <w:left w:w="270" w:type="dxa"/>
              <w:bottom w:w="180" w:type="dxa"/>
              <w:right w:w="270" w:type="dxa"/>
            </w:tcMar>
            <w:vAlign w:val="center"/>
          </w:tcPr>
          <w:p w14:paraId="2C3D633E">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紧邻生活热水设备布置，缩短管线距离</w:t>
            </w:r>
          </w:p>
        </w:tc>
      </w:tr>
      <w:tr w14:paraId="1B3C1BC9">
        <w:tblPrEx>
          <w:tblBorders>
            <w:top w:val="single" w:color="auto" w:sz="6"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c>
          <w:tcPr>
            <w:tcW w:w="1206" w:type="dxa"/>
            <w:tcBorders>
              <w:top w:val="nil"/>
              <w:left w:val="nil"/>
              <w:bottom w:val="nil"/>
              <w:right w:val="nil"/>
            </w:tcBorders>
            <w:shd w:val="clear" w:color="auto" w:fill="FFFFFF"/>
            <w:noWrap w:val="0"/>
            <w:tcMar>
              <w:top w:w="180" w:type="dxa"/>
              <w:left w:w="270" w:type="dxa"/>
              <w:bottom w:w="180" w:type="dxa"/>
              <w:right w:w="270" w:type="dxa"/>
            </w:tcMar>
            <w:vAlign w:val="center"/>
          </w:tcPr>
          <w:p w14:paraId="585AB3FB">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生活热水补充系统</w:t>
            </w:r>
          </w:p>
        </w:tc>
        <w:tc>
          <w:tcPr>
            <w:tcW w:w="1870" w:type="dxa"/>
            <w:tcBorders>
              <w:top w:val="nil"/>
              <w:left w:val="nil"/>
              <w:bottom w:val="nil"/>
              <w:right w:val="nil"/>
            </w:tcBorders>
            <w:shd w:val="clear" w:color="auto" w:fill="FFFFFF"/>
            <w:noWrap w:val="0"/>
            <w:tcMar>
              <w:top w:w="180" w:type="dxa"/>
              <w:left w:w="270" w:type="dxa"/>
              <w:bottom w:w="180" w:type="dxa"/>
              <w:right w:w="270" w:type="dxa"/>
            </w:tcMar>
            <w:vAlign w:val="center"/>
          </w:tcPr>
          <w:p w14:paraId="64854EC4">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12-19</w:t>
            </w:r>
          </w:p>
        </w:tc>
        <w:tc>
          <w:tcPr>
            <w:tcW w:w="4082" w:type="dxa"/>
            <w:tcBorders>
              <w:top w:val="nil"/>
              <w:left w:val="nil"/>
              <w:bottom w:val="nil"/>
              <w:right w:val="nil"/>
            </w:tcBorders>
            <w:shd w:val="clear" w:color="auto" w:fill="FFFFFF"/>
            <w:noWrap w:val="0"/>
            <w:tcMar>
              <w:top w:w="180" w:type="dxa"/>
              <w:left w:w="270" w:type="dxa"/>
              <w:bottom w:w="180" w:type="dxa"/>
              <w:right w:w="270" w:type="dxa"/>
            </w:tcMar>
            <w:vAlign w:val="center"/>
          </w:tcPr>
          <w:p w14:paraId="43A7245D">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储水箱、板式换热器、热水循环泵、恒温控制阀</w:t>
            </w:r>
          </w:p>
        </w:tc>
        <w:tc>
          <w:tcPr>
            <w:tcW w:w="2071" w:type="dxa"/>
            <w:tcBorders>
              <w:top w:val="nil"/>
              <w:left w:val="nil"/>
              <w:bottom w:val="nil"/>
              <w:right w:val="nil"/>
            </w:tcBorders>
            <w:shd w:val="clear" w:color="auto" w:fill="FFFFFF"/>
            <w:noWrap w:val="0"/>
            <w:tcMar>
              <w:top w:w="180" w:type="dxa"/>
              <w:left w:w="270" w:type="dxa"/>
              <w:bottom w:w="180" w:type="dxa"/>
              <w:right w:w="270" w:type="dxa"/>
            </w:tcMar>
            <w:vAlign w:val="center"/>
          </w:tcPr>
          <w:p w14:paraId="664FD651">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依附机房周边空间，无需独立开辟场地</w:t>
            </w:r>
          </w:p>
        </w:tc>
      </w:tr>
      <w:tr w14:paraId="345F7E1B">
        <w:tblPrEx>
          <w:tblBorders>
            <w:top w:val="single" w:color="auto" w:sz="6" w:space="0"/>
            <w:left w:val="single" w:color="auto" w:sz="2" w:space="0"/>
            <w:bottom w:val="single" w:color="auto" w:sz="2" w:space="0"/>
            <w:right w:val="single" w:color="auto" w:sz="2" w:space="0"/>
            <w:insideH w:val="none" w:color="auto" w:sz="0" w:space="0"/>
            <w:insideV w:val="none" w:color="auto" w:sz="0" w:space="0"/>
          </w:tblBorders>
          <w:tblCellMar>
            <w:top w:w="0" w:type="dxa"/>
            <w:left w:w="0" w:type="dxa"/>
            <w:bottom w:w="0" w:type="dxa"/>
            <w:right w:w="0" w:type="dxa"/>
          </w:tblCellMar>
        </w:tblPrEx>
        <w:tc>
          <w:tcPr>
            <w:tcW w:w="1206" w:type="dxa"/>
            <w:tcBorders>
              <w:top w:val="nil"/>
              <w:left w:val="nil"/>
              <w:bottom w:val="single" w:color="000000" w:sz="12" w:space="0"/>
              <w:right w:val="nil"/>
            </w:tcBorders>
            <w:shd w:val="clear" w:color="auto" w:fill="FFFFFF"/>
            <w:noWrap w:val="0"/>
            <w:tcMar>
              <w:top w:w="180" w:type="dxa"/>
              <w:left w:w="270" w:type="dxa"/>
              <w:bottom w:w="180" w:type="dxa"/>
              <w:right w:w="270" w:type="dxa"/>
            </w:tcMar>
            <w:vAlign w:val="center"/>
          </w:tcPr>
          <w:p w14:paraId="7922189A">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其他辅助设施</w:t>
            </w:r>
          </w:p>
        </w:tc>
        <w:tc>
          <w:tcPr>
            <w:tcW w:w="1870" w:type="dxa"/>
            <w:tcBorders>
              <w:top w:val="nil"/>
              <w:left w:val="nil"/>
              <w:bottom w:val="single" w:color="000000" w:sz="12" w:space="0"/>
              <w:right w:val="nil"/>
            </w:tcBorders>
            <w:shd w:val="clear" w:color="auto" w:fill="FFFFFF"/>
            <w:noWrap w:val="0"/>
            <w:tcMar>
              <w:top w:w="180" w:type="dxa"/>
              <w:left w:w="270" w:type="dxa"/>
              <w:bottom w:w="180" w:type="dxa"/>
              <w:right w:w="270" w:type="dxa"/>
            </w:tcMar>
            <w:vAlign w:val="center"/>
          </w:tcPr>
          <w:p w14:paraId="0C17C9CB">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10-15</w:t>
            </w:r>
          </w:p>
        </w:tc>
        <w:tc>
          <w:tcPr>
            <w:tcW w:w="4082" w:type="dxa"/>
            <w:tcBorders>
              <w:top w:val="nil"/>
              <w:left w:val="nil"/>
              <w:bottom w:val="single" w:color="000000" w:sz="12" w:space="0"/>
              <w:right w:val="nil"/>
            </w:tcBorders>
            <w:shd w:val="clear" w:color="auto" w:fill="FFFFFF"/>
            <w:noWrap w:val="0"/>
            <w:tcMar>
              <w:top w:w="180" w:type="dxa"/>
              <w:left w:w="270" w:type="dxa"/>
              <w:bottom w:w="180" w:type="dxa"/>
              <w:right w:w="270" w:type="dxa"/>
            </w:tcMar>
            <w:vAlign w:val="center"/>
          </w:tcPr>
          <w:p w14:paraId="6B27ABBB">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管道沟、阀门井、通用储热水箱、管线敷设空间</w:t>
            </w:r>
          </w:p>
        </w:tc>
        <w:tc>
          <w:tcPr>
            <w:tcW w:w="2071" w:type="dxa"/>
            <w:tcBorders>
              <w:top w:val="nil"/>
              <w:left w:val="nil"/>
              <w:bottom w:val="single" w:color="000000" w:sz="12" w:space="0"/>
              <w:right w:val="nil"/>
            </w:tcBorders>
            <w:shd w:val="clear" w:color="auto" w:fill="FFFFFF"/>
            <w:noWrap w:val="0"/>
            <w:tcMar>
              <w:top w:w="180" w:type="dxa"/>
              <w:left w:w="270" w:type="dxa"/>
              <w:bottom w:w="180" w:type="dxa"/>
              <w:right w:w="270" w:type="dxa"/>
            </w:tcMar>
            <w:vAlign w:val="center"/>
          </w:tcPr>
          <w:p w14:paraId="6FC27AF8">
            <w:pPr>
              <w:keepNext w:val="0"/>
              <w:keepLines w:val="0"/>
              <w:pageBreakBefore w:val="0"/>
              <w:widowControl/>
              <w:kinsoku/>
              <w:wordWrap/>
              <w:overflowPunct/>
              <w:topLinePunct w:val="0"/>
              <w:autoSpaceDE/>
              <w:autoSpaceDN/>
              <w:bidi w:val="0"/>
              <w:adjustRightInd/>
              <w:snapToGrid/>
              <w:spacing w:line="420" w:lineRule="atLeast"/>
              <w:ind w:firstLine="420" w:firstLineChars="200"/>
              <w:jc w:val="left"/>
              <w:textAlignment w:val="auto"/>
              <w:rPr>
                <w:rFonts w:hint="eastAsia" w:ascii="宋体" w:hAnsi="宋体" w:eastAsia="宋体" w:cs="宋体"/>
                <w:b w:val="0"/>
                <w:i w:val="0"/>
                <w:iCs w:val="0"/>
                <w:color w:val="000000"/>
                <w:sz w:val="21"/>
                <w:szCs w:val="21"/>
              </w:rPr>
            </w:pPr>
            <w:r>
              <w:rPr>
                <w:rFonts w:hint="eastAsia" w:ascii="宋体" w:hAnsi="宋体" w:eastAsia="宋体" w:cs="宋体"/>
                <w:b w:val="0"/>
                <w:i w:val="0"/>
                <w:iCs w:val="0"/>
                <w:color w:val="000000"/>
                <w:kern w:val="0"/>
                <w:sz w:val="21"/>
                <w:szCs w:val="21"/>
                <w:lang w:bidi="ar"/>
              </w:rPr>
              <w:t>分散布局，不占用独立开阔区域</w:t>
            </w:r>
          </w:p>
        </w:tc>
      </w:tr>
    </w:tbl>
    <w:p w14:paraId="633CF76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系统组成：包含渗水井、集水过滤池、检修通道、溢流设施、回流井/渠、回流泵组、过滤消毒装置、流量监测设备，占地面积142-192㎡，较常规渗井系统节省40%-50%占地，适配山地有限的场地资源。</w:t>
      </w:r>
    </w:p>
    <w:p w14:paraId="17DD3F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 xml:space="preserve"> 取水机制：利用山地地形高差与土壤渗透特性，通过渗水井采集溪流周边浅层地下水（渗井水），渗井水水温稳定，与室内形成5-7℃传热温差，为后续供能提供稳定的低品位能源，同时回流系统将换热后的水送回溪流，实现水资源循环利用，无浪费、无污染。</w:t>
      </w:r>
    </w:p>
    <w:p w14:paraId="6A2E63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水质保障：设置多级过滤消毒装置，去除渗井水中的杂质、微生物，确保水质符合热泵系统运行要求，避免管道结垢、设备损坏，延长系统使用寿命。</w:t>
      </w:r>
    </w:p>
    <w:p w14:paraId="3B01E8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（2）水能高效利用机制</w:t>
      </w:r>
    </w:p>
    <w:p w14:paraId="43D5B7B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渗井水作为低品位水能资源，与地表水源热泵系统协同，根据建筑不同季节负荷特性，实现精准供能，与光能系统、双层嵌管墙系统形成协同效应，具体应用如下：</w:t>
      </w:r>
    </w:p>
    <w:p w14:paraId="29EC8CA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夏季供能：直接利用低温渗井水（水温低于室内5-7℃）流入围护结构双层嵌管，通过辐射换热降低室内温度，承担围护结构冷负荷的20-30%（36-90kW），剩余冷负荷由水源热泵机组承担（配置450kW制冷量机组，总制冷负荷450-600kW），同时热泵制取冷冻水，为新风系统除湿，实现低能耗供冷，提升室内舒适度。</w:t>
      </w:r>
    </w:p>
    <w:p w14:paraId="7E8E068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ascii="宋体" w:hAnsi="宋体" w:cs="宋体"/>
          <w:b/>
          <w:sz w:val="24"/>
          <w:szCs w:val="32"/>
        </w:rPr>
      </w:pPr>
      <w:r>
        <w:rPr>
          <w:rFonts w:ascii="宋体" w:hAnsi="宋体" w:cs="宋体"/>
          <w:b/>
          <w:sz w:val="24"/>
          <w:szCs w:val="32"/>
        </w:rPr>
        <w:drawing>
          <wp:inline distT="0" distB="0" distL="114300" distR="114300">
            <wp:extent cx="4102735" cy="2448560"/>
            <wp:effectExtent l="0" t="0" r="12065" b="2540"/>
            <wp:docPr id="4" name="图片 1" descr="176387537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1763875371067"/>
                    <pic:cNvPicPr>
                      <a:picLocks noChangeAspect="1"/>
                    </pic:cNvPicPr>
                  </pic:nvPicPr>
                  <pic:blipFill>
                    <a:blip r:embed="rId8"/>
                    <a:stretch>
                      <a:fillRect/>
                    </a:stretch>
                  </pic:blipFill>
                  <pic:spPr>
                    <a:xfrm>
                      <a:off x="0" y="0"/>
                      <a:ext cx="4102735" cy="2448560"/>
                    </a:xfrm>
                    <a:prstGeom prst="rect">
                      <a:avLst/>
                    </a:prstGeom>
                    <a:noFill/>
                    <a:ln>
                      <a:noFill/>
                    </a:ln>
                  </pic:spPr>
                </pic:pic>
              </a:graphicData>
            </a:graphic>
          </wp:inline>
        </w:drawing>
      </w:r>
    </w:p>
    <w:p w14:paraId="61E88D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宋体" w:hAnsi="宋体" w:cs="宋体"/>
          <w:b/>
          <w:sz w:val="24"/>
          <w:szCs w:val="32"/>
          <w:lang w:val="en-US" w:eastAsia="zh-CN"/>
        </w:rPr>
      </w:pPr>
      <w:r>
        <w:rPr>
          <w:rFonts w:hint="eastAsia" w:ascii="黑体" w:hAnsi="黑体" w:eastAsia="黑体" w:cs="黑体"/>
          <w:b w:val="0"/>
          <w:bCs w:val="0"/>
          <w:sz w:val="20"/>
          <w:szCs w:val="20"/>
          <w:lang w:val="en-US" w:eastAsia="zh-CN"/>
        </w:rPr>
        <w:t>图5 武夷山全年各季节相对湿度分布</w:t>
      </w:r>
    </w:p>
    <w:p w14:paraId="731C4C5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冬季供能：渗井水作为水源热泵的辅助冷热源，配合太阳能集热器（承担总供暖负荷的30-40%，108-216kW），通过热泵系统制取低温热水，再通过围护结构嵌管进行辐射供暖，承担总供暖负荷的40-60%（144-432kW），配置400kW制热量机组匹配最大补充负荷，实现高效供暖，同时防止梅雨季节围护结构结露发霉。</w:t>
      </w:r>
    </w:p>
    <w:p w14:paraId="3DC95E0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b/>
          <w:bCs/>
          <w:sz w:val="24"/>
          <w:szCs w:val="32"/>
          <w:lang w:val="en-US" w:eastAsia="zh-CN"/>
        </w:rPr>
      </w:pPr>
      <w:r>
        <w:rPr>
          <w:rFonts w:hint="eastAsia" w:ascii="宋体" w:hAnsi="宋体" w:eastAsia="宋体" w:cs="宋体"/>
          <w:b w:val="0"/>
          <w:bCs w:val="0"/>
          <w:sz w:val="24"/>
          <w:szCs w:val="32"/>
          <w:lang w:val="en-US" w:eastAsia="zh-CN"/>
        </w:rPr>
        <w:t>能源互补：遵循“低品位能源匹配低品位负荷”的原则，渗井水（低品位水能）主要用于处理围护结构负荷，新风负荷（高品位负荷）由热泵系统（结合光伏电能）处理，实现能源的梯级利用，提升整体能源利用效率，符合绿色建筑低能耗要求。</w:t>
      </w:r>
    </w:p>
    <w:p w14:paraId="332DF9E8">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可再生能源协同利用机制</w:t>
      </w:r>
    </w:p>
    <w:p w14:paraId="4CF70AC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t>光能（BIPV系统）与水能（渗井+水源热泵系统）协同联动，结合双层嵌管墙系统，形成“光能发电、水能供能、协同节能”的完整体系：</w:t>
      </w:r>
    </w:p>
    <w:p w14:paraId="45FFFF1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79" w:leftChars="228" w:firstLine="480" w:firstLineChars="200"/>
        <w:jc w:val="left"/>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t>能源互补：白天光伏板发电，为热泵系统、新风系统、智能控制系统等供电，减少电网能耗；渗井水作为稳定的低品位能源，为建筑供冷供暖提供基础，弥补太阳能受天气影响的不稳定性，实现全天候可再生能源供应。</w:t>
      </w:r>
    </w:p>
    <w:p w14:paraId="24E2FC0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t>负荷协同：BIPV遮阳构件减少太阳辐射，降低室内冷负荷，减少水能（渗井水+热泵）的消耗；水能系统通过嵌管辐射换热，提升室内舒适度，减少光伏电能用于空调系统的消耗，形成双向节能，提升整体系统能效。</w:t>
      </w:r>
    </w:p>
    <w:p w14:paraId="2A20E6D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黑体" w:hAnsi="黑体" w:eastAsia="黑体" w:cs="黑体"/>
          <w:b/>
          <w:bCs/>
          <w:sz w:val="24"/>
          <w:szCs w:val="32"/>
          <w:lang w:val="en-US" w:eastAsia="zh-CN"/>
        </w:rPr>
      </w:pPr>
      <w:r>
        <w:rPr>
          <w:rFonts w:hint="eastAsia" w:ascii="宋体" w:hAnsi="宋体" w:eastAsia="宋体" w:cs="宋体"/>
          <w:b w:val="0"/>
          <w:bCs w:val="0"/>
          <w:kern w:val="2"/>
          <w:sz w:val="24"/>
          <w:szCs w:val="32"/>
          <w:lang w:val="en-US" w:eastAsia="zh-CN" w:bidi="ar-SA"/>
        </w:rPr>
        <w:t>围护结构升级：BIPV光伏遮阳构件与双层嵌管墙协同，使建筑围护结构从“单一的环境分隔界面”升级为“复合的能源与环境调节器”，既实现遮阳、采光、隔热，又实现能源采集与供能，提升建筑的生态性能与科技含量。</w:t>
      </w:r>
    </w:p>
    <w:p w14:paraId="537A6F0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（二）双层嵌板墙与水风同产热泵系统</w:t>
      </w:r>
    </w:p>
    <w:p w14:paraId="2DB676B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黑体" w:hAnsi="黑体" w:eastAsia="黑体" w:cs="黑体"/>
          <w:b/>
          <w:bCs/>
          <w:sz w:val="24"/>
          <w:szCs w:val="32"/>
          <w:lang w:val="en-US" w:eastAsia="zh-CN"/>
        </w:rPr>
      </w:pPr>
      <w:r>
        <w:rPr>
          <w:rFonts w:hint="eastAsia" w:ascii="宋体" w:hAnsi="宋体" w:eastAsia="宋体" w:cs="宋体"/>
          <w:b w:val="0"/>
          <w:bCs w:val="0"/>
          <w:kern w:val="2"/>
          <w:sz w:val="24"/>
          <w:szCs w:val="32"/>
          <w:lang w:val="en-US" w:eastAsia="zh-CN" w:bidi="ar-SA"/>
        </w:rPr>
        <w:t>技术原理与系统架构</w:t>
      </w:r>
      <w:r>
        <w:rPr>
          <w:rFonts w:hint="eastAsia" w:cs="宋体"/>
          <w:b w:val="0"/>
          <w:bCs w:val="0"/>
          <w:kern w:val="2"/>
          <w:sz w:val="24"/>
          <w:szCs w:val="32"/>
          <w:lang w:val="en-US" w:eastAsia="zh-CN" w:bidi="ar-SA"/>
        </w:rPr>
        <w:t>：</w:t>
      </w:r>
      <w:r>
        <w:rPr>
          <w:rFonts w:hint="eastAsia" w:ascii="宋体" w:hAnsi="宋体" w:eastAsia="宋体" w:cs="宋体"/>
          <w:b w:val="0"/>
          <w:bCs w:val="0"/>
          <w:kern w:val="2"/>
          <w:sz w:val="24"/>
          <w:szCs w:val="32"/>
          <w:lang w:val="en-US" w:eastAsia="zh-CN" w:bidi="ar-SA"/>
        </w:rPr>
        <w:t>本系统以地表水源热泵为核心，结合渗井取水与双层嵌管墙围护结构，构建了一套多能互补、梯级利用的低碳供能体系。其核心创新在于将围护结构从单纯的隔热构件，升级为主动式能源利用与调节单元，通过内外嵌管的协同工作，实现对自然冷热源（如低温渗井水、太阳能、废热等）的高效捕获与利用。</w:t>
      </w:r>
      <w:r>
        <w:rPr>
          <w:rFonts w:hint="eastAsia" w:ascii="黑体" w:hAnsi="黑体" w:eastAsia="黑体" w:cs="黑体"/>
          <w:b/>
          <w:bCs/>
          <w:sz w:val="24"/>
          <w:szCs w:val="32"/>
          <w:lang w:val="en-US" w:eastAsia="zh-CN"/>
        </w:rPr>
        <w:drawing>
          <wp:inline distT="0" distB="0" distL="114300" distR="114300">
            <wp:extent cx="3647440" cy="2579370"/>
            <wp:effectExtent l="0" t="0" r="10160" b="11430"/>
            <wp:docPr id="11" name="图片 11"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
                    <pic:cNvPicPr>
                      <a:picLocks noChangeAspect="1"/>
                    </pic:cNvPicPr>
                  </pic:nvPicPr>
                  <pic:blipFill>
                    <a:blip r:embed="rId9"/>
                    <a:stretch>
                      <a:fillRect/>
                    </a:stretch>
                  </pic:blipFill>
                  <pic:spPr>
                    <a:xfrm>
                      <a:off x="0" y="0"/>
                      <a:ext cx="3647440" cy="2579370"/>
                    </a:xfrm>
                    <a:prstGeom prst="rect">
                      <a:avLst/>
                    </a:prstGeom>
                  </pic:spPr>
                </pic:pic>
              </a:graphicData>
            </a:graphic>
          </wp:inline>
        </w:drawing>
      </w:r>
    </w:p>
    <w:p w14:paraId="60968707">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eastAsia" w:ascii="黑体" w:hAnsi="黑体" w:eastAsia="黑体" w:cs="黑体"/>
          <w:b/>
          <w:bCs/>
          <w:sz w:val="24"/>
          <w:szCs w:val="32"/>
          <w:lang w:val="en-US" w:eastAsia="zh-CN"/>
        </w:rPr>
      </w:pPr>
      <w:r>
        <w:t xml:space="preserve">图 </w:t>
      </w:r>
      <w:r>
        <w:rPr>
          <w:rFonts w:hint="eastAsia"/>
          <w:lang w:val="en-US" w:eastAsia="zh-CN"/>
        </w:rPr>
        <w:t>6  双层嵌板墙与水风同产热泵系统分析图</w:t>
      </w:r>
    </w:p>
    <w:p w14:paraId="2A37421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t>系统采用三介质换热器作为能量分配枢纽，可同时或独立输出冷风/热风、冷水/热水，灵活适配间歇运行的启动阶段与稳定运行阶段，有效降低了热泵系统的处理负荷。在夏季，直接利用低温渗井水通过外嵌管进行冷却，实现低品位能源的高效利用；冬季则以热泵系统为主，辅以太阳能集热器，通过内嵌管进行辐射供暖，提升室内热舒适度并防止结露。</w:t>
      </w:r>
    </w:p>
    <w:p w14:paraId="34370DB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drawing>
          <wp:inline distT="0" distB="0" distL="114300" distR="114300">
            <wp:extent cx="3046095" cy="1360805"/>
            <wp:effectExtent l="0" t="0" r="1905" b="10795"/>
            <wp:docPr id="12" name="图片 1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
                    <pic:cNvPicPr>
                      <a:picLocks noChangeAspect="1"/>
                    </pic:cNvPicPr>
                  </pic:nvPicPr>
                  <pic:blipFill>
                    <a:blip r:embed="rId10"/>
                    <a:srcRect l="21008" t="16283" r="23950" b="48952"/>
                    <a:stretch>
                      <a:fillRect/>
                    </a:stretch>
                  </pic:blipFill>
                  <pic:spPr>
                    <a:xfrm>
                      <a:off x="0" y="0"/>
                      <a:ext cx="3046095" cy="1360805"/>
                    </a:xfrm>
                    <a:prstGeom prst="rect">
                      <a:avLst/>
                    </a:prstGeom>
                  </pic:spPr>
                </pic:pic>
              </a:graphicData>
            </a:graphic>
          </wp:inline>
        </w:drawing>
      </w:r>
    </w:p>
    <w:p w14:paraId="45209A89">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eastAsia" w:ascii="宋体" w:hAnsi="宋体" w:eastAsia="宋体" w:cs="宋体"/>
          <w:b w:val="0"/>
          <w:bCs w:val="0"/>
          <w:kern w:val="2"/>
          <w:sz w:val="24"/>
          <w:szCs w:val="32"/>
          <w:lang w:val="en-US" w:eastAsia="zh-CN" w:bidi="ar-SA"/>
        </w:rPr>
      </w:pPr>
      <w:r>
        <w:t xml:space="preserve">图 </w:t>
      </w:r>
      <w:r>
        <w:rPr>
          <w:rFonts w:hint="eastAsia"/>
          <w:lang w:val="en-US" w:eastAsia="zh-CN"/>
        </w:rPr>
        <w:t>7  双层嵌板墙传热过程</w:t>
      </w:r>
    </w:p>
    <w:p w14:paraId="64BD2C28">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t>系统具备四种灵活的运行模式，可根据建筑使用特性和气候条件动态切换：</w:t>
      </w:r>
    </w:p>
    <w:p w14:paraId="45075372">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jc w:val="center"/>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drawing>
          <wp:inline distT="0" distB="0" distL="114300" distR="114300">
            <wp:extent cx="4714240" cy="3333750"/>
            <wp:effectExtent l="0" t="0" r="10160" b="6350"/>
            <wp:docPr id="14" name="图片 14"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
                    <pic:cNvPicPr>
                      <a:picLocks noChangeAspect="1"/>
                    </pic:cNvPicPr>
                  </pic:nvPicPr>
                  <pic:blipFill>
                    <a:blip r:embed="rId11"/>
                    <a:stretch>
                      <a:fillRect/>
                    </a:stretch>
                  </pic:blipFill>
                  <pic:spPr>
                    <a:xfrm>
                      <a:off x="0" y="0"/>
                      <a:ext cx="4714240" cy="3333750"/>
                    </a:xfrm>
                    <a:prstGeom prst="rect">
                      <a:avLst/>
                    </a:prstGeom>
                  </pic:spPr>
                </pic:pic>
              </a:graphicData>
            </a:graphic>
          </wp:inline>
        </w:drawing>
      </w:r>
    </w:p>
    <w:p w14:paraId="67B34585">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00" w:firstLineChars="200"/>
        <w:jc w:val="center"/>
        <w:textAlignment w:val="auto"/>
        <w:rPr>
          <w:rFonts w:hint="eastAsia" w:ascii="Arial" w:hAnsi="Arial" w:eastAsia="黑体" w:cstheme="minorBidi"/>
          <w:b w:val="0"/>
          <w:bCs w:val="0"/>
          <w:kern w:val="2"/>
          <w:sz w:val="20"/>
          <w:szCs w:val="24"/>
          <w:lang w:val="en-US" w:eastAsia="zh-CN" w:bidi="ar-SA"/>
        </w:rPr>
      </w:pPr>
      <w:r>
        <w:rPr>
          <w:rFonts w:hint="eastAsia" w:ascii="Arial" w:hAnsi="Arial" w:eastAsia="黑体" w:cstheme="minorBidi"/>
          <w:b w:val="0"/>
          <w:bCs w:val="0"/>
          <w:kern w:val="2"/>
          <w:sz w:val="20"/>
          <w:szCs w:val="24"/>
          <w:lang w:val="en-US" w:eastAsia="zh-CN" w:bidi="ar-SA"/>
        </w:rPr>
        <w:t>图 8  双层嵌板墙与水风同产热泵系统运行模式</w:t>
      </w:r>
    </w:p>
    <w:p w14:paraId="2CC9E382">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t>低碳性能与能效优势</w:t>
      </w:r>
      <w:r>
        <w:rPr>
          <w:rFonts w:hint="eastAsia" w:cs="宋体"/>
          <w:b w:val="0"/>
          <w:bCs w:val="0"/>
          <w:kern w:val="2"/>
          <w:sz w:val="24"/>
          <w:szCs w:val="32"/>
          <w:lang w:val="en-US" w:eastAsia="zh-CN" w:bidi="ar-SA"/>
        </w:rPr>
        <w:t>：</w:t>
      </w:r>
    </w:p>
    <w:p w14:paraId="47534EEF">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b w:val="0"/>
          <w:bCs w:val="0"/>
          <w:kern w:val="2"/>
          <w:sz w:val="24"/>
          <w:szCs w:val="32"/>
          <w:lang w:val="en-US" w:eastAsia="zh-CN" w:bidi="ar-SA"/>
        </w:rPr>
      </w:pPr>
      <w:r>
        <w:rPr>
          <w:rFonts w:hint="eastAsia" w:cs="宋体"/>
          <w:b w:val="0"/>
          <w:bCs w:val="0"/>
          <w:kern w:val="2"/>
          <w:sz w:val="24"/>
          <w:szCs w:val="32"/>
          <w:lang w:val="en-US" w:eastAsia="zh-CN" w:bidi="ar-SA"/>
        </w:rPr>
        <w:t>1.优化</w:t>
      </w:r>
      <w:r>
        <w:rPr>
          <w:rFonts w:hint="eastAsia" w:ascii="宋体" w:hAnsi="宋体" w:eastAsia="宋体" w:cs="宋体"/>
          <w:b w:val="0"/>
          <w:bCs w:val="0"/>
          <w:kern w:val="2"/>
          <w:sz w:val="24"/>
          <w:szCs w:val="32"/>
          <w:lang w:val="en-US" w:eastAsia="zh-CN" w:bidi="ar-SA"/>
        </w:rPr>
        <w:t>能源利用：外嵌管优先利用自然能峰谷负荷，内嵌管则在稳定运行阶段提供低温热水</w:t>
      </w:r>
      <w:r>
        <w:rPr>
          <w:rFonts w:hint="eastAsia" w:cs="宋体"/>
          <w:b w:val="0"/>
          <w:bCs w:val="0"/>
          <w:kern w:val="2"/>
          <w:sz w:val="24"/>
          <w:szCs w:val="32"/>
          <w:lang w:val="en-US" w:eastAsia="zh-CN" w:bidi="ar-SA"/>
        </w:rPr>
        <w:t>/</w:t>
      </w:r>
      <w:r>
        <w:rPr>
          <w:rFonts w:hint="eastAsia" w:ascii="宋体" w:hAnsi="宋体" w:eastAsia="宋体" w:cs="宋体"/>
          <w:b w:val="0"/>
          <w:bCs w:val="0"/>
          <w:kern w:val="2"/>
          <w:sz w:val="24"/>
          <w:szCs w:val="32"/>
          <w:lang w:val="en-US" w:eastAsia="zh-CN" w:bidi="ar-SA"/>
        </w:rPr>
        <w:t>冷水，实现了“先自然、后机械”的供能逻辑。</w:t>
      </w:r>
    </w:p>
    <w:p w14:paraId="65DFE488">
      <w:pPr>
        <w:keepNext w:val="0"/>
        <w:keepLines w:val="0"/>
        <w:pageBreakBefore w:val="0"/>
        <w:widowControl/>
        <w:numPr>
          <w:ilvl w:val="0"/>
          <w:numId w:val="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t>2.</w:t>
      </w:r>
      <w:r>
        <w:rPr>
          <w:rFonts w:ascii="宋体" w:hAnsi="宋体" w:eastAsia="宋体" w:cs="宋体"/>
          <w:sz w:val="24"/>
          <w:szCs w:val="24"/>
        </w:rPr>
        <w:t>提升系统能效</w:t>
      </w:r>
      <w:r>
        <w:rPr>
          <w:rFonts w:hint="eastAsia" w:ascii="宋体" w:hAnsi="宋体" w:eastAsia="宋体" w:cs="宋体"/>
          <w:b w:val="0"/>
          <w:bCs w:val="0"/>
          <w:kern w:val="2"/>
          <w:sz w:val="24"/>
          <w:szCs w:val="32"/>
          <w:lang w:val="en-US" w:eastAsia="zh-CN" w:bidi="ar-SA"/>
        </w:rPr>
        <w:t>：与传统方案相比，在夏热冬冷地区的连续供暖季节能率可达15%以上，间歇供暖季节能率高达28%，系统能效比（COP）稳定在3以上。</w:t>
      </w:r>
    </w:p>
    <w:p w14:paraId="199A6F3C">
      <w:pPr>
        <w:keepNext w:val="0"/>
        <w:keepLines w:val="0"/>
        <w:pageBreakBefore w:val="0"/>
        <w:widowControl/>
        <w:numPr>
          <w:ilvl w:val="0"/>
          <w:numId w:val="5"/>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b w:val="0"/>
          <w:bCs w:val="0"/>
          <w:kern w:val="2"/>
          <w:sz w:val="24"/>
          <w:szCs w:val="32"/>
          <w:lang w:val="en-US" w:eastAsia="zh-CN" w:bidi="ar-SA"/>
        </w:rPr>
      </w:pPr>
      <w:r>
        <w:rPr>
          <w:rFonts w:hint="eastAsia" w:ascii="宋体" w:hAnsi="宋体" w:eastAsia="宋体" w:cs="宋体"/>
          <w:b w:val="0"/>
          <w:bCs w:val="0"/>
          <w:kern w:val="2"/>
          <w:sz w:val="24"/>
          <w:szCs w:val="32"/>
          <w:lang w:val="en-US" w:eastAsia="zh-CN" w:bidi="ar-SA"/>
        </w:rPr>
        <w:t>3.负荷构成优化：通过墙体辐射换热承担主要热负荷，显著减少了热泵的机械制热量，在上海、重庆等典型城市，热泵制热量减少率最高可达40%以上。</w:t>
      </w:r>
    </w:p>
    <w:p w14:paraId="32CE649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kern w:val="2"/>
          <w:sz w:val="24"/>
          <w:szCs w:val="32"/>
          <w:lang w:val="en-US" w:eastAsia="zh-CN" w:bidi="ar-SA"/>
        </w:rPr>
        <w:t>（三）</w:t>
      </w:r>
      <w:r>
        <w:rPr>
          <w:rFonts w:hint="eastAsia" w:ascii="黑体" w:hAnsi="黑体" w:eastAsia="黑体" w:cs="黑体"/>
          <w:b/>
          <w:bCs/>
          <w:sz w:val="24"/>
          <w:szCs w:val="32"/>
          <w:lang w:val="en-US" w:eastAsia="zh-CN"/>
        </w:rPr>
        <w:t>被动式节能设计</w:t>
      </w:r>
    </w:p>
    <w:p w14:paraId="2D33E4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自然通风：利用山地热压差，通过模块错位布局形成通风廊道。</w:t>
      </w:r>
    </w:p>
    <w:p w14:paraId="46089BB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遮阳隔热：外置遮阳板阻挡太阳直射辐射；夹心保温外墙板提供优异的围护结构热工性能。</w:t>
      </w:r>
    </w:p>
    <w:p w14:paraId="06FE59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b w:val="0"/>
          <w:bCs w:val="0"/>
          <w:sz w:val="24"/>
          <w:szCs w:val="32"/>
          <w:lang w:val="en-US" w:eastAsia="zh-CN"/>
        </w:rPr>
      </w:pPr>
      <w:r>
        <w:rPr>
          <w:rFonts w:hint="eastAsia" w:ascii="黑体" w:hAnsi="黑体" w:eastAsia="黑体" w:cs="黑体"/>
          <w:b w:val="0"/>
          <w:bCs w:val="0"/>
          <w:sz w:val="24"/>
          <w:szCs w:val="32"/>
          <w:lang w:val="en-US" w:eastAsia="zh-CN"/>
        </w:rPr>
        <w:drawing>
          <wp:inline distT="0" distB="0" distL="114300" distR="114300">
            <wp:extent cx="2731770" cy="1080135"/>
            <wp:effectExtent l="0" t="0" r="11430" b="1905"/>
            <wp:docPr id="5" name="图片 5" descr="44530130a4035baf4116b91440dbf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4530130a4035baf4116b91440dbf863"/>
                    <pic:cNvPicPr>
                      <a:picLocks noChangeAspect="1"/>
                    </pic:cNvPicPr>
                  </pic:nvPicPr>
                  <pic:blipFill>
                    <a:blip r:embed="rId12"/>
                    <a:srcRect b="14835"/>
                    <a:stretch>
                      <a:fillRect/>
                    </a:stretch>
                  </pic:blipFill>
                  <pic:spPr>
                    <a:xfrm>
                      <a:off x="0" y="0"/>
                      <a:ext cx="2731770" cy="1080135"/>
                    </a:xfrm>
                    <a:prstGeom prst="rect">
                      <a:avLst/>
                    </a:prstGeom>
                  </pic:spPr>
                </pic:pic>
              </a:graphicData>
            </a:graphic>
          </wp:inline>
        </w:drawing>
      </w:r>
      <w:r>
        <w:rPr>
          <w:rFonts w:hint="eastAsia" w:ascii="黑体" w:hAnsi="黑体" w:eastAsia="黑体" w:cs="黑体"/>
          <w:b w:val="0"/>
          <w:bCs w:val="0"/>
          <w:sz w:val="24"/>
          <w:szCs w:val="32"/>
          <w:lang w:val="en-US" w:eastAsia="zh-CN"/>
        </w:rPr>
        <w:t xml:space="preserve"> </w:t>
      </w:r>
      <w:r>
        <w:rPr>
          <w:rFonts w:hint="eastAsia" w:ascii="黑体" w:hAnsi="黑体" w:eastAsia="黑体" w:cs="黑体"/>
          <w:b w:val="0"/>
          <w:bCs w:val="0"/>
          <w:sz w:val="24"/>
          <w:szCs w:val="32"/>
          <w:lang w:val="en-US" w:eastAsia="zh-CN"/>
        </w:rPr>
        <w:drawing>
          <wp:inline distT="0" distB="0" distL="114300" distR="114300">
            <wp:extent cx="2656205" cy="1080135"/>
            <wp:effectExtent l="0" t="0" r="10795" b="1905"/>
            <wp:docPr id="7" name="图片 7" descr="162290e971ad7e957570e8a7af66b2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62290e971ad7e957570e8a7af66b2a9"/>
                    <pic:cNvPicPr>
                      <a:picLocks noChangeAspect="1"/>
                    </pic:cNvPicPr>
                  </pic:nvPicPr>
                  <pic:blipFill>
                    <a:blip r:embed="rId13"/>
                    <a:srcRect b="12441"/>
                    <a:stretch>
                      <a:fillRect/>
                    </a:stretch>
                  </pic:blipFill>
                  <pic:spPr>
                    <a:xfrm>
                      <a:off x="0" y="0"/>
                      <a:ext cx="2656205" cy="1080135"/>
                    </a:xfrm>
                    <a:prstGeom prst="rect">
                      <a:avLst/>
                    </a:prstGeom>
                  </pic:spPr>
                </pic:pic>
              </a:graphicData>
            </a:graphic>
          </wp:inline>
        </w:drawing>
      </w:r>
    </w:p>
    <w:p w14:paraId="5234A0E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b w:val="0"/>
          <w:bCs w:val="0"/>
          <w:sz w:val="24"/>
          <w:szCs w:val="32"/>
          <w:lang w:val="en-US" w:eastAsia="zh-CN"/>
        </w:rPr>
      </w:pPr>
      <w:r>
        <w:rPr>
          <w:rFonts w:hint="eastAsia" w:ascii="黑体" w:hAnsi="黑体" w:eastAsia="黑体" w:cs="黑体"/>
          <w:b w:val="0"/>
          <w:bCs w:val="0"/>
          <w:sz w:val="24"/>
          <w:szCs w:val="32"/>
          <w:lang w:val="en-US" w:eastAsia="zh-CN"/>
        </w:rPr>
        <w:drawing>
          <wp:inline distT="0" distB="0" distL="114300" distR="114300">
            <wp:extent cx="5213985" cy="2160270"/>
            <wp:effectExtent l="0" t="0" r="13335" b="3810"/>
            <wp:docPr id="6" name="图片 6" descr="d5b4a156a0544c125aefca20b7ac44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5b4a156a0544c125aefca20b7ac44aa"/>
                    <pic:cNvPicPr>
                      <a:picLocks noChangeAspect="1"/>
                    </pic:cNvPicPr>
                  </pic:nvPicPr>
                  <pic:blipFill>
                    <a:blip r:embed="rId14"/>
                    <a:srcRect b="10782"/>
                    <a:stretch>
                      <a:fillRect/>
                    </a:stretch>
                  </pic:blipFill>
                  <pic:spPr>
                    <a:xfrm>
                      <a:off x="0" y="0"/>
                      <a:ext cx="5213985" cy="2160270"/>
                    </a:xfrm>
                    <a:prstGeom prst="rect">
                      <a:avLst/>
                    </a:prstGeom>
                  </pic:spPr>
                </pic:pic>
              </a:graphicData>
            </a:graphic>
          </wp:inline>
        </w:drawing>
      </w:r>
    </w:p>
    <w:p w14:paraId="505F747B">
      <w:pPr>
        <w:pStyle w:val="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黑体" w:hAnsi="黑体" w:eastAsia="黑体" w:cs="黑体"/>
          <w:b w:val="0"/>
          <w:bCs w:val="0"/>
          <w:sz w:val="24"/>
          <w:szCs w:val="32"/>
          <w:lang w:val="en-US" w:eastAsia="zh-CN"/>
        </w:rPr>
      </w:pPr>
      <w:r>
        <w:t xml:space="preserve">图 </w:t>
      </w:r>
      <w:r>
        <w:rPr>
          <w:rFonts w:hint="eastAsia"/>
          <w:lang w:val="en-US" w:eastAsia="zh-CN"/>
        </w:rPr>
        <w:t>9  被动式措施分析图（局部）</w:t>
      </w:r>
    </w:p>
    <w:p w14:paraId="0B6785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黑体" w:hAnsi="黑体" w:eastAsia="黑体" w:cs="黑体"/>
          <w:b w:val="0"/>
          <w:bCs w:val="0"/>
          <w:sz w:val="24"/>
          <w:szCs w:val="32"/>
          <w:lang w:val="en-US" w:eastAsia="zh-CN"/>
        </w:rPr>
      </w:pPr>
    </w:p>
    <w:p w14:paraId="3CCFB82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kern w:val="2"/>
          <w:sz w:val="24"/>
          <w:szCs w:val="32"/>
          <w:lang w:val="en-US" w:eastAsia="zh-CN" w:bidi="ar-SA"/>
        </w:rPr>
        <w:t>（四）</w:t>
      </w:r>
      <w:r>
        <w:rPr>
          <w:rFonts w:hint="eastAsia" w:ascii="黑体" w:hAnsi="黑体" w:eastAsia="黑体" w:cs="黑体"/>
          <w:b/>
          <w:bCs/>
          <w:sz w:val="24"/>
          <w:szCs w:val="32"/>
          <w:lang w:val="en-US" w:eastAsia="zh-CN"/>
        </w:rPr>
        <w:t> 全装配式建造体系</w:t>
      </w:r>
    </w:p>
    <w:p w14:paraId="21A30F8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预制构件范围：预制混凝土柱、预制混凝土梁、叠合楼板、预制外墙挂板、预制楼梯、预制阳台板、预制景观构件。</w:t>
      </w:r>
    </w:p>
    <w:p w14:paraId="29F6E40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连接节点：梁柱节点采用钢筋套筒灌浆连接或浆锚搭接，确保结构安全等同于现浇。节点区域采用高性能灌浆料，微膨胀、高强度。</w:t>
      </w:r>
    </w:p>
    <w:p w14:paraId="1FD29FC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预制外墙（除双层嵌板墙外）：采用夹心保温外墙板（三明治墙板），结构层（80mm）+ 保温层（60mm挤塑聚苯板）+ 外叶板（60mm，可饰面），实现保温结构一体化，免除外墙外保温工序，延长保温寿命。</w:t>
      </w:r>
    </w:p>
    <w:p w14:paraId="0BD11D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内装系统：全干法作业，集成卫浴、集成厨房、架空地面系统，与主体结构分离，便于后期维护和改造。</w:t>
      </w:r>
    </w:p>
    <w:p w14:paraId="06B8A56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优势：工厂预制精度高、现场施工无湿作业（仅节点现浇）、工期缩短、建筑垃圾减少、扬尘噪音降低，最大程度保护山地生态环境。</w:t>
      </w:r>
    </w:p>
    <w:p w14:paraId="478B21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center"/>
        <w:textAlignment w:val="auto"/>
        <w:rPr>
          <w:rFonts w:hint="eastAsia" w:ascii="黑体" w:hAnsi="黑体" w:eastAsia="黑体" w:cs="黑体"/>
          <w:b/>
          <w:bCs/>
          <w:sz w:val="24"/>
          <w:szCs w:val="32"/>
          <w:lang w:val="en-US" w:eastAsia="zh-CN"/>
        </w:rPr>
      </w:pPr>
      <w:r>
        <w:drawing>
          <wp:inline distT="0" distB="0" distL="114300" distR="114300">
            <wp:extent cx="2525395" cy="1800225"/>
            <wp:effectExtent l="0" t="0" r="4445" b="1333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5"/>
                    <a:stretch>
                      <a:fillRect/>
                    </a:stretch>
                  </pic:blipFill>
                  <pic:spPr>
                    <a:xfrm>
                      <a:off x="0" y="0"/>
                      <a:ext cx="2525395" cy="1800225"/>
                    </a:xfrm>
                    <a:prstGeom prst="rect">
                      <a:avLst/>
                    </a:prstGeom>
                    <a:noFill/>
                    <a:ln>
                      <a:noFill/>
                    </a:ln>
                  </pic:spPr>
                </pic:pic>
              </a:graphicData>
            </a:graphic>
          </wp:inline>
        </w:drawing>
      </w:r>
    </w:p>
    <w:p w14:paraId="10D7D44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黑体" w:hAnsi="黑体" w:eastAsia="黑体" w:cs="黑体"/>
          <w:b/>
          <w:bCs/>
          <w:sz w:val="24"/>
          <w:szCs w:val="32"/>
          <w:lang w:val="en-US" w:eastAsia="zh-CN"/>
        </w:rPr>
      </w:pPr>
      <w:r>
        <w:rPr>
          <w:rFonts w:hint="eastAsia" w:ascii="黑体" w:hAnsi="黑体" w:eastAsia="黑体" w:cs="黑体"/>
          <w:b w:val="0"/>
          <w:bCs w:val="0"/>
          <w:sz w:val="20"/>
          <w:szCs w:val="20"/>
          <w:lang w:val="en-US" w:eastAsia="zh-CN"/>
        </w:rPr>
        <w:t>图10装配式结构分析图</w:t>
      </w:r>
    </w:p>
    <w:p w14:paraId="7D93F457">
      <w:pPr>
        <w:keepNext w:val="0"/>
        <w:keepLines w:val="0"/>
        <w:pageBreakBefore w:val="0"/>
        <w:numPr>
          <w:ilvl w:val="0"/>
          <w:numId w:val="1"/>
        </w:numPr>
        <w:kinsoku/>
        <w:wordWrap/>
        <w:overflowPunct/>
        <w:topLinePunct w:val="0"/>
        <w:autoSpaceDE/>
        <w:autoSpaceDN/>
        <w:bidi w:val="0"/>
        <w:adjustRightInd/>
        <w:snapToGrid/>
        <w:spacing w:line="360" w:lineRule="auto"/>
        <w:ind w:firstLine="482" w:firstLineChars="200"/>
        <w:jc w:val="both"/>
        <w:textAlignment w:val="auto"/>
        <w:rPr>
          <w:rFonts w:hint="eastAsia" w:ascii="黑体" w:hAnsi="黑体" w:eastAsia="黑体" w:cs="黑体"/>
          <w:b/>
          <w:bCs/>
          <w:sz w:val="24"/>
          <w:szCs w:val="32"/>
          <w:lang w:val="en-US" w:eastAsia="zh-CN"/>
        </w:rPr>
      </w:pPr>
      <w:r>
        <w:rPr>
          <w:rFonts w:hint="eastAsia" w:ascii="黑体" w:hAnsi="黑体" w:eastAsia="黑体" w:cs="黑体"/>
          <w:b/>
          <w:bCs/>
          <w:sz w:val="24"/>
          <w:szCs w:val="32"/>
          <w:lang w:val="en-US" w:eastAsia="zh-CN"/>
        </w:rPr>
        <w:t>景观与室内设计导则</w:t>
      </w:r>
    </w:p>
    <w:p w14:paraId="12E178A0">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bCs/>
          <w:sz w:val="24"/>
          <w:szCs w:val="24"/>
        </w:rPr>
      </w:pPr>
      <w:r>
        <w:rPr>
          <w:rFonts w:hint="eastAsia"/>
          <w:b/>
          <w:bCs/>
          <w:lang w:eastAsia="zh-CN"/>
        </w:rPr>
        <w:t>（</w:t>
      </w:r>
      <w:r>
        <w:rPr>
          <w:rFonts w:hint="eastAsia" w:ascii="宋体" w:hAnsi="宋体" w:eastAsia="宋体" w:cs="宋体"/>
          <w:b/>
          <w:bCs/>
          <w:sz w:val="24"/>
          <w:szCs w:val="24"/>
          <w:lang w:val="en-US" w:eastAsia="zh-CN"/>
        </w:rPr>
        <w:t>一</w:t>
      </w:r>
      <w:r>
        <w:rPr>
          <w:rFonts w:hint="eastAsia" w:ascii="宋体" w:hAnsi="宋体" w:eastAsia="宋体" w:cs="宋体"/>
          <w:b/>
          <w:bCs/>
          <w:sz w:val="24"/>
          <w:szCs w:val="24"/>
          <w:lang w:eastAsia="zh-CN"/>
        </w:rPr>
        <w:t>）</w:t>
      </w:r>
      <w:r>
        <w:rPr>
          <w:rFonts w:hint="eastAsia" w:ascii="宋体" w:hAnsi="宋体" w:eastAsia="宋体" w:cs="宋体"/>
          <w:b/>
          <w:bCs/>
          <w:sz w:val="24"/>
          <w:szCs w:val="24"/>
        </w:rPr>
        <w:t xml:space="preserve"> 景观设计</w:t>
      </w:r>
    </w:p>
    <w:p w14:paraId="13DBAC6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1</w:t>
      </w:r>
      <w:r>
        <w:rPr>
          <w:rFonts w:hint="eastAsia" w:ascii="宋体" w:hAnsi="宋体" w:eastAsia="宋体" w:cs="宋体"/>
          <w:b/>
          <w:bCs/>
          <w:sz w:val="24"/>
          <w:szCs w:val="24"/>
          <w:lang w:eastAsia="zh-CN"/>
        </w:rPr>
        <w:t>）</w:t>
      </w:r>
      <w:r>
        <w:rPr>
          <w:rFonts w:hint="eastAsia" w:ascii="宋体" w:hAnsi="宋体" w:eastAsia="宋体" w:cs="宋体"/>
          <w:b/>
          <w:bCs/>
          <w:sz w:val="24"/>
          <w:szCs w:val="24"/>
        </w:rPr>
        <w:t xml:space="preserve"> 核心设计原则</w:t>
      </w:r>
    </w:p>
    <w:p w14:paraId="65B929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 xml:space="preserve">  </w:t>
      </w:r>
      <w:r>
        <w:rPr>
          <w:rFonts w:hint="eastAsia" w:ascii="宋体" w:hAnsi="宋体" w:eastAsia="宋体" w:cs="宋体"/>
          <w:sz w:val="24"/>
          <w:szCs w:val="24"/>
        </w:rPr>
        <w:t>以原生茶园保护为基底，遵循“低干预、本土化、生态化、场景化”原则，让景观成为建筑与山地茶园的自然过渡，融合茶叶生产肌理与休闲体验功能，打造与武夷山地风貌共生的茶乡景观体系，所有景观营造均避免大规模土方作业，保护场地原生地形与植被。</w:t>
      </w:r>
    </w:p>
    <w:p w14:paraId="59DFC27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534920" cy="1440180"/>
            <wp:effectExtent l="0" t="0" r="10160" b="7620"/>
            <wp:docPr id="9" name="图片 9" descr="图片变清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变清晰 (2)"/>
                    <pic:cNvPicPr>
                      <a:picLocks noChangeAspect="1"/>
                    </pic:cNvPicPr>
                  </pic:nvPicPr>
                  <pic:blipFill>
                    <a:blip r:embed="rId16"/>
                    <a:srcRect l="4265" t="8593" r="42730" b="71330"/>
                    <a:stretch>
                      <a:fillRect/>
                    </a:stretch>
                  </pic:blipFill>
                  <pic:spPr>
                    <a:xfrm>
                      <a:off x="0" y="0"/>
                      <a:ext cx="2534920" cy="1440180"/>
                    </a:xfrm>
                    <a:prstGeom prst="rect">
                      <a:avLst/>
                    </a:prstGeom>
                  </pic:spPr>
                </pic:pic>
              </a:graphicData>
            </a:graphic>
          </wp:inline>
        </w:drawing>
      </w:r>
      <w:r>
        <w:rPr>
          <w:rFonts w:hint="eastAsia" w:ascii="宋体" w:hAnsi="宋体" w:eastAsia="宋体" w:cs="宋体"/>
          <w:sz w:val="24"/>
          <w:szCs w:val="24"/>
          <w:lang w:eastAsia="zh-CN"/>
        </w:rPr>
        <w:drawing>
          <wp:inline distT="0" distB="0" distL="114300" distR="114300">
            <wp:extent cx="2553970" cy="1440180"/>
            <wp:effectExtent l="0" t="0" r="6350" b="7620"/>
            <wp:docPr id="10" name="图片 10" descr="图片变清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变清晰 (2)"/>
                    <pic:cNvPicPr>
                      <a:picLocks noChangeAspect="1"/>
                    </pic:cNvPicPr>
                  </pic:nvPicPr>
                  <pic:blipFill>
                    <a:blip r:embed="rId16"/>
                    <a:srcRect l="42645" t="76807" r="8336" b="5035"/>
                    <a:stretch>
                      <a:fillRect/>
                    </a:stretch>
                  </pic:blipFill>
                  <pic:spPr>
                    <a:xfrm>
                      <a:off x="0" y="0"/>
                      <a:ext cx="2553970" cy="1440180"/>
                    </a:xfrm>
                    <a:prstGeom prst="rect">
                      <a:avLst/>
                    </a:prstGeom>
                  </pic:spPr>
                </pic:pic>
              </a:graphicData>
            </a:graphic>
          </wp:inline>
        </w:drawing>
      </w:r>
    </w:p>
    <w:p w14:paraId="079C628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宋体" w:hAnsi="宋体" w:eastAsia="宋体" w:cs="宋体"/>
          <w:sz w:val="24"/>
          <w:szCs w:val="24"/>
          <w:lang w:val="en-US" w:eastAsia="zh-CN"/>
        </w:rPr>
      </w:pPr>
      <w:r>
        <w:rPr>
          <w:rFonts w:hint="eastAsia" w:ascii="黑体" w:hAnsi="黑体" w:eastAsia="黑体" w:cs="黑体"/>
          <w:b w:val="0"/>
          <w:bCs w:val="0"/>
          <w:sz w:val="20"/>
          <w:szCs w:val="20"/>
          <w:lang w:val="en-US" w:eastAsia="zh-CN"/>
        </w:rPr>
        <w:t>图11  山地公社不同角度效果图</w:t>
      </w:r>
    </w:p>
    <w:p w14:paraId="3B310AF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2</w:t>
      </w:r>
      <w:r>
        <w:rPr>
          <w:rFonts w:hint="eastAsia" w:ascii="宋体" w:hAnsi="宋体" w:eastAsia="宋体" w:cs="宋体"/>
          <w:b/>
          <w:bCs/>
          <w:sz w:val="24"/>
          <w:szCs w:val="24"/>
          <w:lang w:eastAsia="zh-CN"/>
        </w:rPr>
        <w:t>）</w:t>
      </w:r>
      <w:r>
        <w:rPr>
          <w:rFonts w:hint="eastAsia" w:ascii="宋体" w:hAnsi="宋体" w:eastAsia="宋体" w:cs="宋体"/>
          <w:b/>
          <w:bCs/>
          <w:sz w:val="24"/>
          <w:szCs w:val="24"/>
        </w:rPr>
        <w:t xml:space="preserve"> 基底景观营造</w:t>
      </w:r>
    </w:p>
    <w:p w14:paraId="7EB8C6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 xml:space="preserve">  </w:t>
      </w:r>
      <w:r>
        <w:rPr>
          <w:rFonts w:hint="eastAsia" w:ascii="宋体" w:hAnsi="宋体" w:eastAsia="宋体" w:cs="宋体"/>
          <w:sz w:val="24"/>
          <w:szCs w:val="24"/>
        </w:rPr>
        <w:t>保留场地内所有梯田式茶园肌理，梳理茶园灌溉水系，打造茶园自然灌溉景观带；</w:t>
      </w:r>
      <w:r>
        <w:rPr>
          <w:rFonts w:hint="eastAsia" w:ascii="宋体" w:hAnsi="宋体" w:eastAsia="宋体" w:cs="宋体"/>
          <w:sz w:val="24"/>
          <w:szCs w:val="24"/>
          <w:lang w:eastAsia="zh-CN"/>
        </w:rPr>
        <w:t>后来景观</w:t>
      </w:r>
      <w:r>
        <w:rPr>
          <w:rFonts w:hint="eastAsia" w:ascii="宋体" w:hAnsi="宋体" w:eastAsia="宋体" w:cs="宋体"/>
          <w:sz w:val="24"/>
          <w:szCs w:val="24"/>
        </w:rPr>
        <w:t>植物种植避开茶树生长带，不影响茶叶采光与生长；茶园中设置</w:t>
      </w:r>
      <w:r>
        <w:rPr>
          <w:rFonts w:hint="eastAsia" w:ascii="宋体" w:hAnsi="宋体" w:eastAsia="宋体" w:cs="宋体"/>
          <w:sz w:val="24"/>
          <w:szCs w:val="24"/>
          <w:lang w:val="en-US" w:eastAsia="zh-CN"/>
        </w:rPr>
        <w:t>z</w:t>
      </w:r>
      <w:r>
        <w:rPr>
          <w:rFonts w:hint="eastAsia" w:ascii="宋体" w:hAnsi="宋体" w:eastAsia="宋体" w:cs="宋体"/>
          <w:sz w:val="24"/>
          <w:szCs w:val="24"/>
        </w:rPr>
        <w:t>茶田小径，串联茶田采摘点，既是茶叶生产作业道，也是游客沉浸式茶田体验道。</w:t>
      </w:r>
    </w:p>
    <w:p w14:paraId="03952D9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762885" cy="1800225"/>
            <wp:effectExtent l="0" t="0" r="10795" b="13335"/>
            <wp:docPr id="13" name="图片 13" descr="图片变清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变清晰 (2)"/>
                    <pic:cNvPicPr>
                      <a:picLocks noChangeAspect="1"/>
                    </pic:cNvPicPr>
                  </pic:nvPicPr>
                  <pic:blipFill>
                    <a:blip r:embed="rId16"/>
                    <a:srcRect l="45488" t="19844" r="28057" b="68664"/>
                    <a:stretch>
                      <a:fillRect/>
                    </a:stretch>
                  </pic:blipFill>
                  <pic:spPr>
                    <a:xfrm>
                      <a:off x="0" y="0"/>
                      <a:ext cx="2762885" cy="1800225"/>
                    </a:xfrm>
                    <a:prstGeom prst="rect">
                      <a:avLst/>
                    </a:prstGeom>
                  </pic:spPr>
                </pic:pic>
              </a:graphicData>
            </a:graphic>
          </wp:inline>
        </w:drawing>
      </w:r>
    </w:p>
    <w:p w14:paraId="7BF94F9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宋体" w:hAnsi="宋体" w:eastAsia="宋体" w:cs="宋体"/>
          <w:sz w:val="24"/>
          <w:szCs w:val="24"/>
          <w:lang w:val="en-US" w:eastAsia="zh-CN"/>
        </w:rPr>
      </w:pPr>
      <w:r>
        <w:rPr>
          <w:rFonts w:hint="eastAsia" w:ascii="黑体" w:hAnsi="黑体" w:eastAsia="黑体" w:cs="黑体"/>
          <w:b w:val="0"/>
          <w:bCs w:val="0"/>
          <w:sz w:val="20"/>
          <w:szCs w:val="20"/>
          <w:lang w:val="en-US" w:eastAsia="zh-CN"/>
        </w:rPr>
        <w:t>图12  茶田鸟瞰图</w:t>
      </w:r>
    </w:p>
    <w:p w14:paraId="7FB585E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3</w:t>
      </w:r>
      <w:r>
        <w:rPr>
          <w:rFonts w:hint="eastAsia" w:ascii="宋体" w:hAnsi="宋体" w:eastAsia="宋体" w:cs="宋体"/>
          <w:b/>
          <w:bCs/>
          <w:sz w:val="24"/>
          <w:szCs w:val="24"/>
          <w:lang w:eastAsia="zh-CN"/>
        </w:rPr>
        <w:t>）</w:t>
      </w:r>
      <w:r>
        <w:rPr>
          <w:rFonts w:hint="eastAsia" w:ascii="宋体" w:hAnsi="宋体" w:eastAsia="宋体" w:cs="宋体"/>
          <w:b/>
          <w:bCs/>
          <w:sz w:val="24"/>
          <w:szCs w:val="24"/>
        </w:rPr>
        <w:t xml:space="preserve"> 核心景观节点设计</w:t>
      </w:r>
    </w:p>
    <w:p w14:paraId="43E685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生态走廊</w:t>
      </w:r>
      <w:r>
        <w:rPr>
          <w:rFonts w:hint="eastAsia" w:ascii="宋体" w:hAnsi="宋体" w:eastAsia="宋体" w:cs="宋体"/>
          <w:sz w:val="24"/>
          <w:szCs w:val="24"/>
          <w:lang w:eastAsia="zh-CN"/>
        </w:rPr>
        <w:t>：</w:t>
      </w:r>
      <w:r>
        <w:rPr>
          <w:rFonts w:hint="eastAsia" w:ascii="宋体" w:hAnsi="宋体" w:eastAsia="宋体" w:cs="宋体"/>
          <w:sz w:val="24"/>
          <w:szCs w:val="24"/>
        </w:rPr>
        <w:t>生态走廊为项目核心景观与交通纽带，采用预制混凝土格栅板架空铺设，板体表面做露骨料自然处理</w:t>
      </w:r>
      <w:r>
        <w:rPr>
          <w:rFonts w:hint="eastAsia" w:ascii="宋体" w:hAnsi="宋体" w:eastAsia="宋体" w:cs="宋体"/>
          <w:sz w:val="24"/>
          <w:szCs w:val="24"/>
          <w:lang w:eastAsia="zh-CN"/>
        </w:rPr>
        <w:t>，</w:t>
      </w:r>
      <w:r>
        <w:rPr>
          <w:rFonts w:hint="eastAsia" w:ascii="宋体" w:hAnsi="宋体" w:eastAsia="宋体" w:cs="宋体"/>
          <w:sz w:val="24"/>
          <w:szCs w:val="24"/>
        </w:rPr>
        <w:t>走廊设置</w:t>
      </w:r>
      <w:r>
        <w:rPr>
          <w:rFonts w:hint="eastAsia" w:ascii="宋体" w:hAnsi="宋体" w:eastAsia="宋体" w:cs="宋体"/>
          <w:sz w:val="24"/>
          <w:szCs w:val="24"/>
          <w:lang w:eastAsia="zh-CN"/>
        </w:rPr>
        <w:t>几</w:t>
      </w:r>
      <w:r>
        <w:rPr>
          <w:rFonts w:hint="eastAsia" w:ascii="宋体" w:hAnsi="宋体" w:eastAsia="宋体" w:cs="宋体"/>
          <w:sz w:val="24"/>
          <w:szCs w:val="24"/>
        </w:rPr>
        <w:t>处悬挑式观景平台，平台采用防腐</w:t>
      </w:r>
      <w:r>
        <w:rPr>
          <w:rFonts w:hint="eastAsia" w:ascii="宋体" w:hAnsi="宋体" w:eastAsia="宋体" w:cs="宋体"/>
          <w:sz w:val="24"/>
          <w:szCs w:val="24"/>
          <w:lang w:val="en-US" w:eastAsia="zh-CN"/>
        </w:rPr>
        <w:t>木</w:t>
      </w:r>
      <w:r>
        <w:rPr>
          <w:rFonts w:hint="eastAsia" w:ascii="宋体" w:hAnsi="宋体" w:eastAsia="宋体" w:cs="宋体"/>
          <w:sz w:val="24"/>
          <w:szCs w:val="24"/>
        </w:rPr>
        <w:t>材铺设，供人驻足眺望茶田与山地风光</w:t>
      </w:r>
      <w:r>
        <w:rPr>
          <w:rFonts w:hint="eastAsia" w:ascii="宋体" w:hAnsi="宋体" w:eastAsia="宋体" w:cs="宋体"/>
          <w:sz w:val="24"/>
          <w:szCs w:val="24"/>
          <w:lang w:eastAsia="zh-CN"/>
        </w:rPr>
        <w:t>。</w:t>
      </w:r>
    </w:p>
    <w:p w14:paraId="51EF718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3016885" cy="1800225"/>
            <wp:effectExtent l="0" t="0" r="635" b="13335"/>
            <wp:docPr id="15" name="图片 15" descr="图片变清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变清晰"/>
                    <pic:cNvPicPr>
                      <a:picLocks noChangeAspect="1"/>
                    </pic:cNvPicPr>
                  </pic:nvPicPr>
                  <pic:blipFill>
                    <a:blip r:embed="rId17"/>
                    <a:srcRect r="13455" b="8149"/>
                    <a:stretch>
                      <a:fillRect/>
                    </a:stretch>
                  </pic:blipFill>
                  <pic:spPr>
                    <a:xfrm>
                      <a:off x="0" y="0"/>
                      <a:ext cx="3016885" cy="1800225"/>
                    </a:xfrm>
                    <a:prstGeom prst="rect">
                      <a:avLst/>
                    </a:prstGeom>
                  </pic:spPr>
                </pic:pic>
              </a:graphicData>
            </a:graphic>
          </wp:inline>
        </w:drawing>
      </w:r>
    </w:p>
    <w:p w14:paraId="7E55D2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宋体" w:hAnsi="宋体" w:eastAsia="宋体" w:cs="宋体"/>
          <w:sz w:val="24"/>
          <w:szCs w:val="24"/>
          <w:lang w:val="en-US" w:eastAsia="zh-CN"/>
        </w:rPr>
      </w:pPr>
      <w:r>
        <w:rPr>
          <w:rFonts w:hint="eastAsia" w:ascii="黑体" w:hAnsi="黑体" w:eastAsia="黑体" w:cs="黑体"/>
          <w:b w:val="0"/>
          <w:bCs w:val="0"/>
          <w:sz w:val="20"/>
          <w:szCs w:val="20"/>
          <w:lang w:val="en-US" w:eastAsia="zh-CN"/>
        </w:rPr>
        <w:t>图13  生态走廊游客赏玩展示</w:t>
      </w:r>
    </w:p>
    <w:p w14:paraId="583067B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簇群茶庭</w:t>
      </w:r>
      <w:r>
        <w:rPr>
          <w:rFonts w:hint="eastAsia" w:ascii="宋体" w:hAnsi="宋体" w:eastAsia="宋体" w:cs="宋体"/>
          <w:sz w:val="24"/>
          <w:szCs w:val="24"/>
          <w:lang w:eastAsia="zh-CN"/>
        </w:rPr>
        <w:t>：在</w:t>
      </w:r>
      <w:r>
        <w:rPr>
          <w:rFonts w:hint="eastAsia" w:ascii="宋体" w:hAnsi="宋体" w:eastAsia="宋体" w:cs="宋体"/>
          <w:sz w:val="24"/>
          <w:szCs w:val="24"/>
        </w:rPr>
        <w:t>居住簇群</w:t>
      </w:r>
      <w:r>
        <w:rPr>
          <w:rFonts w:hint="eastAsia" w:ascii="宋体" w:hAnsi="宋体" w:eastAsia="宋体" w:cs="宋体"/>
          <w:sz w:val="24"/>
          <w:szCs w:val="24"/>
          <w:lang w:eastAsia="zh-CN"/>
        </w:rPr>
        <w:t>中设置</w:t>
      </w:r>
      <w:r>
        <w:rPr>
          <w:rFonts w:hint="eastAsia" w:ascii="宋体" w:hAnsi="宋体" w:eastAsia="宋体" w:cs="宋体"/>
          <w:sz w:val="24"/>
          <w:szCs w:val="24"/>
        </w:rPr>
        <w:t>“茶庭”，为住客提供户外品茗、休憩的私密空间，营造“竹下品茗、茶庭观山”的氛围</w:t>
      </w:r>
      <w:r>
        <w:rPr>
          <w:rFonts w:hint="eastAsia" w:ascii="宋体" w:hAnsi="宋体" w:eastAsia="宋体" w:cs="宋体"/>
          <w:sz w:val="24"/>
          <w:szCs w:val="24"/>
          <w:lang w:eastAsia="zh-CN"/>
        </w:rPr>
        <w:t>。</w:t>
      </w:r>
    </w:p>
    <w:p w14:paraId="0C89E04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p>
    <w:p w14:paraId="4484EC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663825" cy="1800225"/>
            <wp:effectExtent l="0" t="0" r="3175" b="13335"/>
            <wp:docPr id="16" name="图片 16" descr="图片变清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变清晰 (1)"/>
                    <pic:cNvPicPr>
                      <a:picLocks noChangeAspect="1"/>
                    </pic:cNvPicPr>
                  </pic:nvPicPr>
                  <pic:blipFill>
                    <a:blip r:embed="rId18"/>
                    <a:srcRect r="1530" b="11265"/>
                    <a:stretch>
                      <a:fillRect/>
                    </a:stretch>
                  </pic:blipFill>
                  <pic:spPr>
                    <a:xfrm>
                      <a:off x="0" y="0"/>
                      <a:ext cx="2663825" cy="1800225"/>
                    </a:xfrm>
                    <a:prstGeom prst="rect">
                      <a:avLst/>
                    </a:prstGeom>
                  </pic:spPr>
                </pic:pic>
              </a:graphicData>
            </a:graphic>
          </wp:inline>
        </w:drawing>
      </w:r>
    </w:p>
    <w:p w14:paraId="5DC9BC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宋体" w:hAnsi="宋体" w:eastAsia="宋体" w:cs="宋体"/>
          <w:sz w:val="24"/>
          <w:szCs w:val="24"/>
          <w:lang w:val="en-US" w:eastAsia="zh-CN"/>
        </w:rPr>
      </w:pPr>
      <w:r>
        <w:rPr>
          <w:rFonts w:hint="eastAsia" w:ascii="黑体" w:hAnsi="黑体" w:eastAsia="黑体" w:cs="黑体"/>
          <w:b w:val="0"/>
          <w:bCs w:val="0"/>
          <w:sz w:val="20"/>
          <w:szCs w:val="20"/>
          <w:lang w:val="en-US" w:eastAsia="zh-CN"/>
        </w:rPr>
        <w:t>图14  茶庭景观展示</w:t>
      </w:r>
    </w:p>
    <w:p w14:paraId="1E392C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茶语工坊外围景观</w:t>
      </w:r>
      <w:r>
        <w:rPr>
          <w:rFonts w:hint="eastAsia" w:ascii="宋体" w:hAnsi="宋体" w:eastAsia="宋体" w:cs="宋体"/>
          <w:sz w:val="24"/>
          <w:szCs w:val="24"/>
          <w:lang w:eastAsia="zh-CN"/>
        </w:rPr>
        <w:t>：</w:t>
      </w:r>
      <w:r>
        <w:rPr>
          <w:rFonts w:hint="eastAsia" w:ascii="宋体" w:hAnsi="宋体" w:eastAsia="宋体" w:cs="宋体"/>
          <w:sz w:val="24"/>
          <w:szCs w:val="24"/>
        </w:rPr>
        <w:t>茶语工坊作为公共核心，外围打造开放式茶广场，广场地面采用青石板与茶园汀步相结合的形式，保留茶田肌理，让公共空间融入生产景观；</w:t>
      </w:r>
    </w:p>
    <w:p w14:paraId="7F4E53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4</w:t>
      </w:r>
      <w:r>
        <w:rPr>
          <w:rFonts w:hint="eastAsia" w:ascii="宋体" w:hAnsi="宋体" w:eastAsia="宋体" w:cs="宋体"/>
          <w:sz w:val="24"/>
          <w:szCs w:val="24"/>
          <w:lang w:eastAsia="zh-CN"/>
        </w:rPr>
        <w:t>）</w:t>
      </w:r>
      <w:r>
        <w:rPr>
          <w:rFonts w:hint="eastAsia" w:ascii="宋体" w:hAnsi="宋体" w:eastAsia="宋体" w:cs="宋体"/>
          <w:sz w:val="24"/>
          <w:szCs w:val="24"/>
        </w:rPr>
        <w:t xml:space="preserve"> 景观设施与材料导则</w:t>
      </w:r>
    </w:p>
    <w:p w14:paraId="3C455F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eastAsia="zh-CN"/>
        </w:rPr>
        <w:t xml:space="preserve">  </w:t>
      </w:r>
      <w:r>
        <w:rPr>
          <w:rFonts w:hint="eastAsia" w:ascii="宋体" w:hAnsi="宋体" w:eastAsia="宋体" w:cs="宋体"/>
          <w:sz w:val="24"/>
          <w:szCs w:val="24"/>
        </w:rPr>
        <w:t>所有景观设施均采用预制化、可再生、本土化材料；预制混凝土构</w:t>
      </w:r>
      <w:r>
        <w:rPr>
          <w:rFonts w:hint="eastAsia" w:ascii="宋体" w:hAnsi="宋体" w:eastAsia="宋体" w:cs="宋体"/>
          <w:sz w:val="24"/>
          <w:szCs w:val="24"/>
          <w:lang w:eastAsia="zh-CN"/>
        </w:rPr>
        <w:t>件</w:t>
      </w:r>
      <w:r>
        <w:rPr>
          <w:rFonts w:hint="eastAsia" w:ascii="宋体" w:hAnsi="宋体" w:eastAsia="宋体" w:cs="宋体"/>
          <w:sz w:val="24"/>
          <w:szCs w:val="24"/>
        </w:rPr>
        <w:t>均添加武夷本地建筑回收骨料，实现资源循环；木质设施选用防腐竹材、杉木等本土木材，做碳化防腐处理；景观给排水采用雨水回收系统，收集的雨水用于茶园灌溉与景观水系补水，实现水资源循环。</w:t>
      </w:r>
    </w:p>
    <w:p w14:paraId="1945181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b/>
          <w:bCs/>
          <w:sz w:val="24"/>
          <w:szCs w:val="24"/>
        </w:rPr>
      </w:pPr>
      <w:r>
        <w:rPr>
          <w:rFonts w:hint="eastAsia" w:ascii="宋体" w:hAnsi="宋体" w:eastAsia="宋体" w:cs="宋体"/>
          <w:b/>
          <w:bCs/>
          <w:kern w:val="2"/>
          <w:sz w:val="24"/>
          <w:szCs w:val="24"/>
          <w:lang w:val="en-US" w:eastAsia="zh-CN" w:bidi="ar-SA"/>
        </w:rPr>
        <w:t>（二）</w:t>
      </w:r>
      <w:r>
        <w:rPr>
          <w:rFonts w:hint="eastAsia" w:ascii="宋体" w:hAnsi="宋体" w:eastAsia="宋体" w:cs="宋体"/>
          <w:b/>
          <w:bCs/>
          <w:sz w:val="24"/>
          <w:szCs w:val="24"/>
        </w:rPr>
        <w:t>室内设计：“朴素</w:t>
      </w:r>
      <w:r>
        <w:rPr>
          <w:rFonts w:hint="eastAsia" w:ascii="宋体" w:hAnsi="宋体" w:eastAsia="宋体" w:cs="宋体"/>
          <w:b/>
          <w:bCs/>
          <w:sz w:val="24"/>
          <w:szCs w:val="24"/>
          <w:lang w:eastAsia="zh-CN"/>
        </w:rPr>
        <w:t>茶香</w:t>
      </w:r>
      <w:r>
        <w:rPr>
          <w:rFonts w:hint="eastAsia" w:ascii="宋体" w:hAnsi="宋体" w:eastAsia="宋体" w:cs="宋体"/>
          <w:b/>
          <w:bCs/>
          <w:sz w:val="24"/>
          <w:szCs w:val="24"/>
        </w:rPr>
        <w:t>+现代智居”</w:t>
      </w:r>
    </w:p>
    <w:p w14:paraId="5B3A69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延续建筑“从茶园生长而出”的质朴感，融合武夷茶乡的文化与现代智慧居住需求，打造“材质本真、空间通透、功能实用、智控便捷”的室内空间，让室内空间成为连接人、茶、山的媒介，既保留乡土的温度，又具备现代旅居的舒适感，所有室内设计均遵循低碳环保原则，选用绿色环保材料，减少装修污染。</w:t>
      </w:r>
    </w:p>
    <w:p w14:paraId="4EB0B18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879725" cy="2221230"/>
            <wp:effectExtent l="0" t="0" r="3175" b="1270"/>
            <wp:docPr id="17" name="图片 17" descr="73e50dc3c5912152b3d3eed6b781b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3e50dc3c5912152b3d3eed6b781b811"/>
                    <pic:cNvPicPr>
                      <a:picLocks noChangeAspect="1"/>
                    </pic:cNvPicPr>
                  </pic:nvPicPr>
                  <pic:blipFill>
                    <a:blip r:embed="rId19"/>
                    <a:stretch>
                      <a:fillRect/>
                    </a:stretch>
                  </pic:blipFill>
                  <pic:spPr>
                    <a:xfrm>
                      <a:off x="0" y="0"/>
                      <a:ext cx="2879725" cy="2221230"/>
                    </a:xfrm>
                    <a:prstGeom prst="rect">
                      <a:avLst/>
                    </a:prstGeom>
                  </pic:spPr>
                </pic:pic>
              </a:graphicData>
            </a:graphic>
          </wp:inline>
        </w:drawing>
      </w:r>
    </w:p>
    <w:p w14:paraId="50230B7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宋体" w:hAnsi="宋体" w:eastAsia="宋体" w:cs="宋体"/>
          <w:sz w:val="24"/>
          <w:szCs w:val="24"/>
          <w:lang w:val="en-US" w:eastAsia="zh-CN"/>
        </w:rPr>
      </w:pPr>
      <w:r>
        <w:rPr>
          <w:rFonts w:hint="eastAsia" w:ascii="黑体" w:hAnsi="黑体" w:eastAsia="黑体" w:cs="黑体"/>
          <w:b w:val="0"/>
          <w:bCs w:val="0"/>
          <w:sz w:val="20"/>
          <w:szCs w:val="20"/>
          <w:lang w:val="en-US" w:eastAsia="zh-CN"/>
        </w:rPr>
        <w:t>图15  智能简洁室内装修展示</w:t>
      </w:r>
    </w:p>
    <w:p w14:paraId="30766BA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三</w:t>
      </w:r>
      <w:r>
        <w:rPr>
          <w:rFonts w:hint="eastAsia" w:ascii="宋体" w:hAnsi="宋体" w:eastAsia="宋体" w:cs="宋体"/>
          <w:b/>
          <w:bCs/>
          <w:sz w:val="24"/>
          <w:szCs w:val="24"/>
          <w:lang w:eastAsia="zh-CN"/>
        </w:rPr>
        <w:t>）</w:t>
      </w:r>
      <w:r>
        <w:rPr>
          <w:rFonts w:hint="eastAsia" w:ascii="宋体" w:hAnsi="宋体" w:eastAsia="宋体" w:cs="宋体"/>
          <w:b/>
          <w:bCs/>
          <w:sz w:val="24"/>
          <w:szCs w:val="24"/>
        </w:rPr>
        <w:t>功能空间深化设计</w:t>
      </w:r>
    </w:p>
    <w:p w14:paraId="4FD48E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（1）公共空间（茶语工坊：制茶工坊、茶文化展厅、品鉴区）</w:t>
      </w:r>
    </w:p>
    <w:p w14:paraId="54ACFF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制茶工坊：室内空间开敞，保留建筑高窗设计，适配制茶工艺需求；墙面采用清水混凝土工坊与品鉴区采用玻璃隔断分隔，让游客可直观观看制茶全过程，实现“生产即景观”。</w:t>
      </w:r>
    </w:p>
    <w:p w14:paraId="6BD4B7B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茶文化展厅：空间以简约留白为主，展墙采用硅藻泥墙面搭配原木展架；展厅内设置一处小型品茗体验区，摆放原木茶桌，供游客近距离感受茶文化。</w:t>
      </w:r>
    </w:p>
    <w:p w14:paraId="4062E9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品鉴区：为公共空间的核心体验区，采用大面落地窗设计，最大化引入室外茶园与山地风光，核心区域摆放大型原木茶桌，搭配竹制座椅，打造“坐看茶田，品茗观山”的体验；</w:t>
      </w:r>
    </w:p>
    <w:p w14:paraId="333B41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（2）居住空间</w:t>
      </w:r>
    </w:p>
    <w:p w14:paraId="768D8D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rPr>
        <w:t>室内整体保持通透格局，依托家具、地面材质自然划分功能区域，原木与竹编的原生材质贯穿整体，营造质朴自然的空间质感。空间内打造茶事体验区，茶台直面户外茶田山地风光，在满足居住基础需求的同时，让茶乡美学与自然意趣融入每一处细节。</w:t>
      </w:r>
    </w:p>
    <w:p w14:paraId="712704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2397760" cy="1800225"/>
            <wp:effectExtent l="0" t="0" r="10160" b="13335"/>
            <wp:docPr id="18" name="图片 18" descr="10372250ed74b29f2fa2153cf25cdd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0372250ed74b29f2fa2153cf25cdd89"/>
                    <pic:cNvPicPr>
                      <a:picLocks noChangeAspect="1"/>
                    </pic:cNvPicPr>
                  </pic:nvPicPr>
                  <pic:blipFill>
                    <a:blip r:embed="rId20"/>
                    <a:srcRect l="4694" t="5751" r="6540"/>
                    <a:stretch>
                      <a:fillRect/>
                    </a:stretch>
                  </pic:blipFill>
                  <pic:spPr>
                    <a:xfrm>
                      <a:off x="0" y="0"/>
                      <a:ext cx="2397760" cy="1800225"/>
                    </a:xfrm>
                    <a:prstGeom prst="rect">
                      <a:avLst/>
                    </a:prstGeom>
                  </pic:spPr>
                </pic:pic>
              </a:graphicData>
            </a:graphic>
          </wp:inline>
        </w:drawing>
      </w:r>
    </w:p>
    <w:p w14:paraId="1B12FC2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00" w:firstLineChars="200"/>
        <w:jc w:val="center"/>
        <w:textAlignment w:val="auto"/>
        <w:rPr>
          <w:rFonts w:hint="default" w:ascii="宋体" w:hAnsi="宋体" w:eastAsia="宋体" w:cs="宋体"/>
          <w:sz w:val="24"/>
          <w:szCs w:val="24"/>
          <w:lang w:val="en-US" w:eastAsia="zh-CN"/>
        </w:rPr>
      </w:pPr>
      <w:r>
        <w:rPr>
          <w:rFonts w:hint="eastAsia" w:ascii="黑体" w:hAnsi="黑体" w:eastAsia="黑体" w:cs="黑体"/>
          <w:b w:val="0"/>
          <w:bCs w:val="0"/>
          <w:sz w:val="20"/>
          <w:szCs w:val="20"/>
          <w:lang w:val="en-US" w:eastAsia="zh-CN"/>
        </w:rPr>
        <w:t>图16  居住区室内布置展示</w:t>
      </w:r>
    </w:p>
    <w:p w14:paraId="7A5AE26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567C491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59E7202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0F3061D1">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sectPr>
      <w:pgSz w:w="11906" w:h="16838"/>
      <w:pgMar w:top="1440" w:right="1800" w:bottom="1440"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swiss"/>
    <w:pitch w:val="default"/>
    <w:sig w:usb0="E4002EFF" w:usb1="C000E47F"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84ED8E"/>
    <w:multiLevelType w:val="singleLevel"/>
    <w:tmpl w:val="9084ED8E"/>
    <w:lvl w:ilvl="0" w:tentative="0">
      <w:start w:val="1"/>
      <w:numFmt w:val="decimal"/>
      <w:suff w:val="nothing"/>
      <w:lvlText w:val="（%1）"/>
      <w:lvlJc w:val="left"/>
    </w:lvl>
  </w:abstractNum>
  <w:abstractNum w:abstractNumId="1">
    <w:nsid w:val="1B39273C"/>
    <w:multiLevelType w:val="singleLevel"/>
    <w:tmpl w:val="1B39273C"/>
    <w:lvl w:ilvl="0" w:tentative="0">
      <w:start w:val="1"/>
      <w:numFmt w:val="chineseCounting"/>
      <w:suff w:val="nothing"/>
      <w:lvlText w:val="（%1）"/>
      <w:lvlJc w:val="left"/>
      <w:rPr>
        <w:rFonts w:hint="eastAsia"/>
      </w:rPr>
    </w:lvl>
  </w:abstractNum>
  <w:abstractNum w:abstractNumId="2">
    <w:nsid w:val="1EC19479"/>
    <w:multiLevelType w:val="singleLevel"/>
    <w:tmpl w:val="1EC19479"/>
    <w:lvl w:ilvl="0" w:tentative="0">
      <w:start w:val="1"/>
      <w:numFmt w:val="chineseCounting"/>
      <w:suff w:val="nothing"/>
      <w:lvlText w:val="（%1）"/>
      <w:lvlJc w:val="left"/>
      <w:rPr>
        <w:rFonts w:hint="eastAsia"/>
      </w:rPr>
    </w:lvl>
  </w:abstractNum>
  <w:abstractNum w:abstractNumId="3">
    <w:nsid w:val="3875C0C2"/>
    <w:multiLevelType w:val="singleLevel"/>
    <w:tmpl w:val="3875C0C2"/>
    <w:lvl w:ilvl="0" w:tentative="0">
      <w:start w:val="1"/>
      <w:numFmt w:val="chineseCounting"/>
      <w:suff w:val="space"/>
      <w:lvlText w:val="%1、"/>
      <w:lvlJc w:val="left"/>
      <w:rPr>
        <w:rFonts w:hint="eastAsia"/>
      </w:rPr>
    </w:lvl>
  </w:abstractNum>
  <w:abstractNum w:abstractNumId="4">
    <w:nsid w:val="45C4572B"/>
    <w:multiLevelType w:val="multilevel"/>
    <w:tmpl w:val="45C4572B"/>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6687ED8"/>
    <w:rsid w:val="01E826E2"/>
    <w:rsid w:val="02EA5E64"/>
    <w:rsid w:val="0B1F5DFE"/>
    <w:rsid w:val="0F672256"/>
    <w:rsid w:val="1350737F"/>
    <w:rsid w:val="169B423D"/>
    <w:rsid w:val="1D3849FD"/>
    <w:rsid w:val="21031370"/>
    <w:rsid w:val="255567F7"/>
    <w:rsid w:val="27E06D3B"/>
    <w:rsid w:val="37766623"/>
    <w:rsid w:val="3F094F7A"/>
    <w:rsid w:val="3F4B54B4"/>
    <w:rsid w:val="3FF2253A"/>
    <w:rsid w:val="489F6130"/>
    <w:rsid w:val="4ED97DE9"/>
    <w:rsid w:val="4F287EB6"/>
    <w:rsid w:val="54807170"/>
    <w:rsid w:val="56A46A8E"/>
    <w:rsid w:val="59D87EF7"/>
    <w:rsid w:val="5BB0532E"/>
    <w:rsid w:val="5BFB3733"/>
    <w:rsid w:val="5F4B0427"/>
    <w:rsid w:val="60254083"/>
    <w:rsid w:val="60A73A4C"/>
    <w:rsid w:val="66687ED8"/>
    <w:rsid w:val="6CE841DA"/>
    <w:rsid w:val="75DB589D"/>
    <w:rsid w:val="787637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4">
    <w:name w:val="heading 4"/>
    <w:basedOn w:val="1"/>
    <w:next w:val="1"/>
    <w:semiHidden/>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5">
    <w:name w:val="caption"/>
    <w:basedOn w:val="1"/>
    <w:next w:val="1"/>
    <w:semiHidden/>
    <w:unhideWhenUsed/>
    <w:qFormat/>
    <w:uiPriority w:val="0"/>
    <w:rPr>
      <w:rFonts w:ascii="Arial" w:hAnsi="Arial" w:eastAsia="黑体"/>
      <w:sz w:val="20"/>
    </w:rPr>
  </w:style>
  <w:style w:type="paragraph" w:styleId="6">
    <w:name w:val="Normal (Web)"/>
    <w:basedOn w:val="1"/>
    <w:qFormat/>
    <w:uiPriority w:val="0"/>
    <w:rPr>
      <w:sz w:val="24"/>
    </w:rPr>
  </w:style>
  <w:style w:type="character" w:styleId="9">
    <w:name w:val="Strong"/>
    <w:basedOn w:val="8"/>
    <w:qFormat/>
    <w:uiPriority w:val="0"/>
    <w:rPr>
      <w:b/>
    </w:rPr>
  </w:style>
  <w:style w:type="character" w:styleId="10">
    <w:name w:val="Emphasis"/>
    <w:basedOn w:val="8"/>
    <w:qFormat/>
    <w:uiPriority w:val="0"/>
    <w:rPr>
      <w:i/>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2081</Words>
  <Characters>2141</Characters>
  <Lines>0</Lines>
  <Paragraphs>0</Paragraphs>
  <TotalTime>11</TotalTime>
  <ScaleCrop>false</ScaleCrop>
  <LinksUpToDate>false</LinksUpToDate>
  <CharactersWithSpaces>2167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2026-02-28T12:20:00Z</dcterms:created>
  <dc:creator>Luffy</dc:creator>
  <cp:lastModifiedBy>Luffy</cp:lastModifiedBy>
  <dcterms:modified xsi:type="dcterms:W3CDTF">2026-03-05T13:34:43Z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207C4EB5C97C421AAA1808E6AB52BEE3_13</vt:lpwstr>
  </property>
  <property fmtid="{D5CDD505-2E9C-101B-9397-08002B2CF9AE}" pid="4" name="KSOTemplateDocerSaveRecord">
    <vt:lpwstr>eyJoZGlkIjoiNmNkMGU5ZTdlM2IxOTdmNzM2NzIxOGNkOGE4MmE0ZTAiLCJ1c2VySWQiOiI4MDA4NTQ0MjYifQ==</vt:lpwstr>
  </property>
</Properties>
</file>