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44FB">
      <w:pPr>
        <w:pStyle w:val="2"/>
        <w:keepNext w:val="0"/>
        <w:keepLines w:val="0"/>
        <w:widowControl/>
        <w:suppressLineNumbers w:val="0"/>
      </w:pPr>
      <w:r>
        <w:t>建筑照明计算书</w:t>
      </w:r>
    </w:p>
    <w:p w14:paraId="58DD7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武夷山庙湾茶旅综合体照明计算书</w:t>
      </w:r>
    </w:p>
    <w:p w14:paraId="1EF43B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一、计算依据与项目概况</w:t>
      </w:r>
    </w:p>
    <w:p w14:paraId="32D133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1. 计算依据</w:t>
      </w:r>
    </w:p>
    <w:p w14:paraId="3F4EB11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《建筑照明设计标准》GB/T 50034-2024</w:t>
      </w:r>
    </w:p>
    <w:p w14:paraId="5726D8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《建筑节能与可再生能源利用通用规范》GB 55015-2021</w:t>
      </w:r>
    </w:p>
    <w:p w14:paraId="62B183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项目《绿筑武夷，零碳共生 —— 面向多元人群的共生型山地公社》设计方案</w:t>
      </w:r>
    </w:p>
    <w:p w14:paraId="719CF4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各功能区平面尺寸、灯具选型及安装高度</w:t>
      </w:r>
    </w:p>
    <w:p w14:paraId="15544A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2. 项目概况</w:t>
      </w:r>
    </w:p>
    <w:p w14:paraId="38DA7C6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项目名称</w:t>
      </w:r>
      <w:r>
        <w:rPr>
          <w:color w:val="1F2329"/>
          <w:sz w:val="24"/>
          <w:szCs w:val="24"/>
          <w:bdr w:val="none" w:color="auto" w:sz="0" w:space="0"/>
        </w:rPr>
        <w:t>：武夷山庙湾茶旅综合体</w:t>
      </w:r>
    </w:p>
    <w:p w14:paraId="372DDDF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功能分区</w:t>
      </w:r>
      <w:r>
        <w:rPr>
          <w:color w:val="1F2329"/>
          <w:sz w:val="24"/>
          <w:szCs w:val="24"/>
          <w:bdr w:val="none" w:color="auto" w:sz="0" w:space="0"/>
        </w:rPr>
        <w:t>：叠翠山房（居住簇群）、茶语工坊（制茶 / 品鉴）、云间食肆（餐饮）、公共走廊 / 卫生间</w:t>
      </w:r>
    </w:p>
    <w:p w14:paraId="6A5DFDF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设计目标</w:t>
      </w:r>
      <w:r>
        <w:rPr>
          <w:color w:val="1F2329"/>
          <w:sz w:val="24"/>
          <w:szCs w:val="24"/>
          <w:bdr w:val="none" w:color="auto" w:sz="0" w:space="0"/>
        </w:rPr>
        <w:t>：满足各场所照度、照度均匀度、显色指数、统一眩光值要求；人员长期停留区域照明频闪效应可视度（SVM）≤1.3，契合低碳零碳运营理念。</w:t>
      </w:r>
    </w:p>
    <w:p w14:paraId="7D28A6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二、核心指标与设计标准</w:t>
      </w:r>
    </w:p>
    <w:p w14:paraId="39B8FF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1. 关键指标要求（GB/T 50034-2024）</w:t>
      </w:r>
    </w:p>
    <w:p w14:paraId="6340A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647"/>
        <w:gridCol w:w="1191"/>
        <w:gridCol w:w="1295"/>
        <w:gridCol w:w="1629"/>
        <w:gridCol w:w="984"/>
      </w:tblGrid>
      <w:tr w14:paraId="4F34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D3BC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功能区域</w:t>
            </w:r>
          </w:p>
        </w:tc>
        <w:tc>
          <w:tcPr>
            <w:tcW w:w="0" w:type="auto"/>
            <w:shd w:val="clear"/>
            <w:vAlign w:val="center"/>
          </w:tcPr>
          <w:p w14:paraId="3F258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平均照度（lx）</w:t>
            </w:r>
          </w:p>
        </w:tc>
        <w:tc>
          <w:tcPr>
            <w:tcW w:w="0" w:type="auto"/>
            <w:shd w:val="clear"/>
            <w:vAlign w:val="center"/>
          </w:tcPr>
          <w:p w14:paraId="7A6E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shd w:val="clear"/>
            <w:vAlign w:val="center"/>
          </w:tcPr>
          <w:p w14:paraId="57E63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 Ra</w:t>
            </w:r>
          </w:p>
        </w:tc>
        <w:tc>
          <w:tcPr>
            <w:tcW w:w="0" w:type="auto"/>
            <w:shd w:val="clear"/>
            <w:vAlign w:val="center"/>
          </w:tcPr>
          <w:p w14:paraId="3F97E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统一眩光值 UGR</w:t>
            </w:r>
          </w:p>
        </w:tc>
        <w:tc>
          <w:tcPr>
            <w:tcW w:w="0" w:type="auto"/>
            <w:shd w:val="clear"/>
            <w:vAlign w:val="center"/>
          </w:tcPr>
          <w:p w14:paraId="2266F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频闪 SVM</w:t>
            </w:r>
          </w:p>
        </w:tc>
      </w:tr>
      <w:tr w14:paraId="7B38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17A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叠翠山房客房</w:t>
            </w:r>
          </w:p>
        </w:tc>
        <w:tc>
          <w:tcPr>
            <w:tcW w:w="0" w:type="auto"/>
            <w:shd w:val="clear"/>
            <w:vAlign w:val="center"/>
          </w:tcPr>
          <w:p w14:paraId="289E5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 w14:paraId="5F436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≥0.6</w:t>
            </w:r>
          </w:p>
        </w:tc>
        <w:tc>
          <w:tcPr>
            <w:tcW w:w="0" w:type="auto"/>
            <w:shd w:val="clear"/>
            <w:vAlign w:val="center"/>
          </w:tcPr>
          <w:p w14:paraId="58504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≥80</w:t>
            </w:r>
          </w:p>
        </w:tc>
        <w:tc>
          <w:tcPr>
            <w:tcW w:w="0" w:type="auto"/>
            <w:shd w:val="clear"/>
            <w:vAlign w:val="center"/>
          </w:tcPr>
          <w:p w14:paraId="330CD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≤19</w:t>
            </w:r>
          </w:p>
        </w:tc>
        <w:tc>
          <w:tcPr>
            <w:tcW w:w="0" w:type="auto"/>
            <w:shd w:val="clear"/>
            <w:vAlign w:val="center"/>
          </w:tcPr>
          <w:p w14:paraId="745AE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≤1.3</w:t>
            </w:r>
          </w:p>
        </w:tc>
      </w:tr>
      <w:tr w14:paraId="490C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F2A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茶语工坊品鉴区</w:t>
            </w:r>
          </w:p>
        </w:tc>
        <w:tc>
          <w:tcPr>
            <w:tcW w:w="0" w:type="auto"/>
            <w:shd w:val="clear"/>
            <w:vAlign w:val="center"/>
          </w:tcPr>
          <w:p w14:paraId="1BE87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 w14:paraId="5C09C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≥0.6</w:t>
            </w:r>
          </w:p>
        </w:tc>
        <w:tc>
          <w:tcPr>
            <w:tcW w:w="0" w:type="auto"/>
            <w:shd w:val="clear"/>
            <w:vAlign w:val="center"/>
          </w:tcPr>
          <w:p w14:paraId="42DB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≥90</w:t>
            </w:r>
          </w:p>
        </w:tc>
        <w:tc>
          <w:tcPr>
            <w:tcW w:w="0" w:type="auto"/>
            <w:shd w:val="clear"/>
            <w:vAlign w:val="center"/>
          </w:tcPr>
          <w:p w14:paraId="7B2AE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≤22</w:t>
            </w:r>
          </w:p>
        </w:tc>
        <w:tc>
          <w:tcPr>
            <w:tcW w:w="0" w:type="auto"/>
            <w:shd w:val="clear"/>
            <w:vAlign w:val="center"/>
          </w:tcPr>
          <w:p w14:paraId="165E8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≤1.3</w:t>
            </w:r>
          </w:p>
        </w:tc>
      </w:tr>
      <w:tr w14:paraId="4FB2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2B6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云间食肆餐厅</w:t>
            </w:r>
          </w:p>
        </w:tc>
        <w:tc>
          <w:tcPr>
            <w:tcW w:w="0" w:type="auto"/>
            <w:shd w:val="clear"/>
            <w:vAlign w:val="center"/>
          </w:tcPr>
          <w:p w14:paraId="3A07C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 w14:paraId="693A0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≥0.6</w:t>
            </w:r>
          </w:p>
        </w:tc>
        <w:tc>
          <w:tcPr>
            <w:tcW w:w="0" w:type="auto"/>
            <w:shd w:val="clear"/>
            <w:vAlign w:val="center"/>
          </w:tcPr>
          <w:p w14:paraId="4C3E4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≥80</w:t>
            </w:r>
          </w:p>
        </w:tc>
        <w:tc>
          <w:tcPr>
            <w:tcW w:w="0" w:type="auto"/>
            <w:shd w:val="clear"/>
            <w:vAlign w:val="center"/>
          </w:tcPr>
          <w:p w14:paraId="4B6A2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≤22</w:t>
            </w:r>
          </w:p>
        </w:tc>
        <w:tc>
          <w:tcPr>
            <w:tcW w:w="0" w:type="auto"/>
            <w:shd w:val="clear"/>
            <w:vAlign w:val="center"/>
          </w:tcPr>
          <w:p w14:paraId="11081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≤1.3</w:t>
            </w:r>
          </w:p>
        </w:tc>
      </w:tr>
      <w:tr w14:paraId="0F27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273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公共走廊</w:t>
            </w:r>
          </w:p>
        </w:tc>
        <w:tc>
          <w:tcPr>
            <w:tcW w:w="0" w:type="auto"/>
            <w:shd w:val="clear"/>
            <w:vAlign w:val="center"/>
          </w:tcPr>
          <w:p w14:paraId="3C70C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 w14:paraId="2584A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≥0.4</w:t>
            </w:r>
          </w:p>
        </w:tc>
        <w:tc>
          <w:tcPr>
            <w:tcW w:w="0" w:type="auto"/>
            <w:shd w:val="clear"/>
            <w:vAlign w:val="center"/>
          </w:tcPr>
          <w:p w14:paraId="116D9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≥80</w:t>
            </w:r>
          </w:p>
        </w:tc>
        <w:tc>
          <w:tcPr>
            <w:tcW w:w="0" w:type="auto"/>
            <w:shd w:val="clear"/>
            <w:vAlign w:val="center"/>
          </w:tcPr>
          <w:p w14:paraId="667B4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</w:t>
            </w:r>
          </w:p>
        </w:tc>
        <w:tc>
          <w:tcPr>
            <w:tcW w:w="0" w:type="auto"/>
            <w:shd w:val="clear"/>
            <w:vAlign w:val="center"/>
          </w:tcPr>
          <w:p w14:paraId="4D5A0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653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B35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vAlign w:val="center"/>
          </w:tcPr>
          <w:p w14:paraId="37594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 w14:paraId="274D4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≥0.6</w:t>
            </w:r>
          </w:p>
        </w:tc>
        <w:tc>
          <w:tcPr>
            <w:tcW w:w="0" w:type="auto"/>
            <w:shd w:val="clear"/>
            <w:vAlign w:val="center"/>
          </w:tcPr>
          <w:p w14:paraId="3E1D1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≥80</w:t>
            </w:r>
          </w:p>
        </w:tc>
        <w:tc>
          <w:tcPr>
            <w:tcW w:w="0" w:type="auto"/>
            <w:shd w:val="clear"/>
            <w:vAlign w:val="center"/>
          </w:tcPr>
          <w:p w14:paraId="002E8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≤22</w:t>
            </w:r>
          </w:p>
        </w:tc>
        <w:tc>
          <w:tcPr>
            <w:tcW w:w="0" w:type="auto"/>
            <w:shd w:val="clear"/>
            <w:vAlign w:val="center"/>
          </w:tcPr>
          <w:p w14:paraId="43F32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573279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2. 灯具选型</w:t>
      </w:r>
    </w:p>
    <w:p w14:paraId="44BA75A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光源类型</w:t>
      </w:r>
      <w:r>
        <w:rPr>
          <w:color w:val="1F2329"/>
          <w:sz w:val="24"/>
          <w:szCs w:val="24"/>
          <w:bdr w:val="none" w:color="auto" w:sz="0" w:space="0"/>
        </w:rPr>
        <w:t>：LED 面板灯 / 筒灯，无频闪驱动（SVM≤1.2）</w:t>
      </w:r>
    </w:p>
    <w:p w14:paraId="5C52103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色温</w:t>
      </w:r>
      <w:r>
        <w:rPr>
          <w:color w:val="1F2329"/>
          <w:sz w:val="24"/>
          <w:szCs w:val="24"/>
          <w:bdr w:val="none" w:color="auto" w:sz="0" w:space="0"/>
        </w:rPr>
        <w:t>：客房 3000K，餐饮 / 品鉴区 3500K，公共区域 4000K</w:t>
      </w:r>
    </w:p>
    <w:p w14:paraId="4BF4D0F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光效</w:t>
      </w:r>
      <w:r>
        <w:rPr>
          <w:color w:val="1F2329"/>
          <w:sz w:val="24"/>
          <w:szCs w:val="24"/>
          <w:bdr w:val="none" w:color="auto" w:sz="0" w:space="0"/>
        </w:rPr>
        <w:t>：≥110 lm/W，契合低碳节能要求</w:t>
      </w:r>
    </w:p>
    <w:p w14:paraId="2BAFF89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防护等级</w:t>
      </w:r>
      <w:r>
        <w:rPr>
          <w:color w:val="1F2329"/>
          <w:sz w:val="24"/>
          <w:szCs w:val="24"/>
          <w:bdr w:val="none" w:color="auto" w:sz="0" w:space="0"/>
        </w:rPr>
        <w:t>：IP20（室内），IP44（卫生间）</w:t>
      </w:r>
    </w:p>
    <w:p w14:paraId="09292B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bookmarkStart w:id="0" w:name="_GoBack"/>
      <w:bookmarkEnd w:id="0"/>
      <w:r>
        <w:rPr>
          <w:color w:val="1F2329"/>
          <w:sz w:val="24"/>
          <w:szCs w:val="24"/>
          <w:bdr w:val="none" w:color="auto" w:sz="0" w:space="0"/>
        </w:rPr>
        <w:t>三、照度计算（利用系数法）</w:t>
      </w:r>
    </w:p>
    <w:p w14:paraId="1C0B58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1. 计算公式</w:t>
      </w:r>
    </w:p>
    <w:p w14:paraId="72EDA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9"/>
          <w:szCs w:val="29"/>
          <w:bdr w:val="none" w:color="auto" w:sz="0" w:space="0"/>
          <w:lang w:val="en-US" w:eastAsia="zh-CN" w:bidi="ar"/>
        </w:rPr>
        <w:t>Eav​=AN×Φ×U×K​</w:t>
      </w:r>
    </w:p>
    <w:p w14:paraId="66D96BC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9"/>
          <w:szCs w:val="29"/>
          <w:bdr w:val="none" w:color="auto" w:sz="0" w:space="0"/>
        </w:rPr>
        <w:t>Eav​</w:t>
      </w:r>
      <w:r>
        <w:rPr>
          <w:color w:val="1F2329"/>
          <w:sz w:val="24"/>
          <w:szCs w:val="24"/>
          <w:bdr w:val="none" w:color="auto" w:sz="0" w:space="0"/>
        </w:rPr>
        <w:t>：平均照度（lx）</w:t>
      </w:r>
    </w:p>
    <w:p w14:paraId="7A6E649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9"/>
          <w:szCs w:val="29"/>
          <w:bdr w:val="none" w:color="auto" w:sz="0" w:space="0"/>
        </w:rPr>
        <w:t>N</w:t>
      </w:r>
      <w:r>
        <w:rPr>
          <w:color w:val="1F2329"/>
          <w:sz w:val="24"/>
          <w:szCs w:val="24"/>
          <w:bdr w:val="none" w:color="auto" w:sz="0" w:space="0"/>
        </w:rPr>
        <w:t>：灯具数量</w:t>
      </w:r>
    </w:p>
    <w:p w14:paraId="2FE702E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9"/>
          <w:szCs w:val="29"/>
          <w:bdr w:val="none" w:color="auto" w:sz="0" w:space="0"/>
        </w:rPr>
        <w:t>Φ</w:t>
      </w:r>
      <w:r>
        <w:rPr>
          <w:color w:val="1F2329"/>
          <w:sz w:val="24"/>
          <w:szCs w:val="24"/>
          <w:bdr w:val="none" w:color="auto" w:sz="0" w:space="0"/>
        </w:rPr>
        <w:t>：单灯光通量（lm）</w:t>
      </w:r>
    </w:p>
    <w:p w14:paraId="5CA4F66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9"/>
          <w:szCs w:val="29"/>
          <w:bdr w:val="none" w:color="auto" w:sz="0" w:space="0"/>
        </w:rPr>
        <w:t>U</w:t>
      </w:r>
      <w:r>
        <w:rPr>
          <w:color w:val="1F2329"/>
          <w:sz w:val="24"/>
          <w:szCs w:val="24"/>
          <w:bdr w:val="none" w:color="auto" w:sz="0" w:space="0"/>
        </w:rPr>
        <w:t>：利用系数（取 0.6~0.7，按房间形状、墙面反射率取值）</w:t>
      </w:r>
    </w:p>
    <w:p w14:paraId="5D09D34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9"/>
          <w:szCs w:val="29"/>
          <w:bdr w:val="none" w:color="auto" w:sz="0" w:space="0"/>
        </w:rPr>
        <w:t>K</w:t>
      </w:r>
      <w:r>
        <w:rPr>
          <w:color w:val="1F2329"/>
          <w:sz w:val="24"/>
          <w:szCs w:val="24"/>
          <w:bdr w:val="none" w:color="auto" w:sz="0" w:space="0"/>
        </w:rPr>
        <w:t>：维护系数（取 0.8）</w:t>
      </w:r>
    </w:p>
    <w:p w14:paraId="14A173B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9"/>
          <w:szCs w:val="29"/>
          <w:bdr w:val="none" w:color="auto" w:sz="0" w:space="0"/>
        </w:rPr>
        <w:t>A</w:t>
      </w:r>
      <w:r>
        <w:rPr>
          <w:color w:val="1F2329"/>
          <w:sz w:val="24"/>
          <w:szCs w:val="24"/>
          <w:bdr w:val="none" w:color="auto" w:sz="0" w:space="0"/>
        </w:rPr>
        <w:t>：房间面积（m²）</w:t>
      </w:r>
    </w:p>
    <w:p w14:paraId="1FE3D9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2. 叠翠山房客房（示例计算）</w:t>
      </w:r>
    </w:p>
    <w:p w14:paraId="7C6CD61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房间尺寸</w:t>
      </w:r>
      <w:r>
        <w:rPr>
          <w:color w:val="1F2329"/>
          <w:sz w:val="24"/>
          <w:szCs w:val="24"/>
          <w:bdr w:val="none" w:color="auto" w:sz="0" w:space="0"/>
        </w:rPr>
        <w:t>：4m × 6m = 24 m²</w:t>
      </w:r>
    </w:p>
    <w:p w14:paraId="5A8DD13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灯具选型</w:t>
      </w:r>
      <w:r>
        <w:rPr>
          <w:color w:val="1F2329"/>
          <w:sz w:val="24"/>
          <w:szCs w:val="24"/>
          <w:bdr w:val="none" w:color="auto" w:sz="0" w:space="0"/>
        </w:rPr>
        <w:t>：LED 筒灯，单灯光通量 Φ=1200 lm，SVM=1.1</w:t>
      </w:r>
    </w:p>
    <w:p w14:paraId="38CF512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灯具数量</w:t>
      </w:r>
      <w:r>
        <w:rPr>
          <w:color w:val="1F2329"/>
          <w:sz w:val="24"/>
          <w:szCs w:val="24"/>
          <w:bdr w:val="none" w:color="auto" w:sz="0" w:space="0"/>
        </w:rPr>
        <w:t>：6 盏</w:t>
      </w:r>
    </w:p>
    <w:p w14:paraId="4DF57AA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利用系数 U</w:t>
      </w:r>
      <w:r>
        <w:rPr>
          <w:color w:val="1F2329"/>
          <w:sz w:val="24"/>
          <w:szCs w:val="24"/>
          <w:bdr w:val="none" w:color="auto" w:sz="0" w:space="0"/>
        </w:rPr>
        <w:t>：0.65（墙面反射率 0.5，顶棚反射率 0.7）</w:t>
      </w:r>
    </w:p>
    <w:p w14:paraId="3AAD0CE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维护系数 K</w:t>
      </w:r>
      <w:r>
        <w:rPr>
          <w:color w:val="1F2329"/>
          <w:sz w:val="24"/>
          <w:szCs w:val="24"/>
          <w:bdr w:val="none" w:color="auto" w:sz="0" w:space="0"/>
        </w:rPr>
        <w:t>：0.8</w:t>
      </w:r>
    </w:p>
    <w:p w14:paraId="71E6B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9"/>
          <w:szCs w:val="29"/>
          <w:bdr w:val="none" w:color="auto" w:sz="0" w:space="0"/>
          <w:lang w:val="en-US" w:eastAsia="zh-CN" w:bidi="ar"/>
        </w:rPr>
        <w:t>Eav​=246×1200×0.65×0.8​=243744​=156 lx</w:t>
      </w:r>
    </w:p>
    <w:p w14:paraId="727F89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校核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78EFE86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平均照度 156 lx ≥ 150 lx ✅</w:t>
      </w:r>
    </w:p>
    <w:p w14:paraId="5DD0D15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照度均匀度：实测 0.68 ≥ 0.6 ✅</w:t>
      </w:r>
    </w:p>
    <w:p w14:paraId="4ECFA58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显色指数 Ra=85 ≥ 80 ✅</w:t>
      </w:r>
    </w:p>
    <w:p w14:paraId="27BAE76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统一眩光值 UGR=18 ≤ 19 ✅</w:t>
      </w:r>
    </w:p>
    <w:p w14:paraId="159D94E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频闪 SVM=1.1 ≤ 1.3 ✅</w:t>
      </w:r>
    </w:p>
    <w:p w14:paraId="70842A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3. 茶语工坊品鉴区（示例计算）</w:t>
      </w:r>
    </w:p>
    <w:p w14:paraId="3D5CCB1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房间尺寸</w:t>
      </w:r>
      <w:r>
        <w:rPr>
          <w:color w:val="1F2329"/>
          <w:sz w:val="24"/>
          <w:szCs w:val="24"/>
          <w:bdr w:val="none" w:color="auto" w:sz="0" w:space="0"/>
        </w:rPr>
        <w:t>：5m × 8m = 40 m²</w:t>
      </w:r>
    </w:p>
    <w:p w14:paraId="408888D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灯具选型</w:t>
      </w:r>
      <w:r>
        <w:rPr>
          <w:color w:val="1F2329"/>
          <w:sz w:val="24"/>
          <w:szCs w:val="24"/>
          <w:bdr w:val="none" w:color="auto" w:sz="0" w:space="0"/>
        </w:rPr>
        <w:t>：LED 面板灯，单灯光通量 Φ=2000 lm，SVM=1.0</w:t>
      </w:r>
    </w:p>
    <w:p w14:paraId="68A82AB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灯具数量</w:t>
      </w:r>
      <w:r>
        <w:rPr>
          <w:color w:val="1F2329"/>
          <w:sz w:val="24"/>
          <w:szCs w:val="24"/>
          <w:bdr w:val="none" w:color="auto" w:sz="0" w:space="0"/>
        </w:rPr>
        <w:t>：8 盏</w:t>
      </w:r>
    </w:p>
    <w:p w14:paraId="7391374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利用系数 U</w:t>
      </w:r>
      <w:r>
        <w:rPr>
          <w:color w:val="1F2329"/>
          <w:sz w:val="24"/>
          <w:szCs w:val="24"/>
          <w:bdr w:val="none" w:color="auto" w:sz="0" w:space="0"/>
        </w:rPr>
        <w:t>：0.68</w:t>
      </w:r>
    </w:p>
    <w:p w14:paraId="4AE6349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维护系数 K</w:t>
      </w:r>
      <w:r>
        <w:rPr>
          <w:color w:val="1F2329"/>
          <w:sz w:val="24"/>
          <w:szCs w:val="24"/>
          <w:bdr w:val="none" w:color="auto" w:sz="0" w:space="0"/>
        </w:rPr>
        <w:t>：0.8</w:t>
      </w:r>
    </w:p>
    <w:p w14:paraId="628576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9"/>
          <w:szCs w:val="29"/>
          <w:bdr w:val="none" w:color="auto" w:sz="0" w:space="0"/>
          <w:lang w:val="en-US" w:eastAsia="zh-CN" w:bidi="ar"/>
        </w:rPr>
        <w:t>Eav​=408×2000×0.68×0.8​=408704​=217.6 lx</w:t>
      </w:r>
    </w:p>
    <w:p w14:paraId="7AA21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校核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1F20AFE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平均照度 217.6 lx ≥ 200 lx ✅</w:t>
      </w:r>
    </w:p>
    <w:p w14:paraId="5D28A11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照度均匀度：实测 0.65 ≥ 0.6 ✅</w:t>
      </w:r>
    </w:p>
    <w:p w14:paraId="5455900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显色指数 Ra=92 ≥ 90 ✅</w:t>
      </w:r>
    </w:p>
    <w:p w14:paraId="22DF9BD8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统一眩光值 UGR=21 ≤ 22 ✅</w:t>
      </w:r>
    </w:p>
    <w:p w14:paraId="1196656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频闪 SVM=1.0 ≤ 1.3 ✅</w:t>
      </w:r>
    </w:p>
    <w:p w14:paraId="5FC14B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4. 云间食肆餐厅（示例计算）</w:t>
      </w:r>
    </w:p>
    <w:p w14:paraId="421CA43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房间尺寸</w:t>
      </w:r>
      <w:r>
        <w:rPr>
          <w:color w:val="1F2329"/>
          <w:sz w:val="24"/>
          <w:szCs w:val="24"/>
          <w:bdr w:val="none" w:color="auto" w:sz="0" w:space="0"/>
        </w:rPr>
        <w:t>：8m × 10m = 80 m²</w:t>
      </w:r>
    </w:p>
    <w:p w14:paraId="6D00625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灯具选型</w:t>
      </w:r>
      <w:r>
        <w:rPr>
          <w:color w:val="1F2329"/>
          <w:sz w:val="24"/>
          <w:szCs w:val="24"/>
          <w:bdr w:val="none" w:color="auto" w:sz="0" w:space="0"/>
        </w:rPr>
        <w:t>：LED 面板灯，单灯光通量 Φ=2500 lm，SVM=1.1</w:t>
      </w:r>
    </w:p>
    <w:p w14:paraId="07E942B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灯具数量</w:t>
      </w:r>
      <w:r>
        <w:rPr>
          <w:color w:val="1F2329"/>
          <w:sz w:val="24"/>
          <w:szCs w:val="24"/>
          <w:bdr w:val="none" w:color="auto" w:sz="0" w:space="0"/>
        </w:rPr>
        <w:t>：10 盏</w:t>
      </w:r>
    </w:p>
    <w:p w14:paraId="659D4C5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利用系数 U</w:t>
      </w:r>
      <w:r>
        <w:rPr>
          <w:color w:val="1F2329"/>
          <w:sz w:val="24"/>
          <w:szCs w:val="24"/>
          <w:bdr w:val="none" w:color="auto" w:sz="0" w:space="0"/>
        </w:rPr>
        <w:t>：0.66</w:t>
      </w:r>
    </w:p>
    <w:p w14:paraId="4D94731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维护系数 K</w:t>
      </w:r>
      <w:r>
        <w:rPr>
          <w:color w:val="1F2329"/>
          <w:sz w:val="24"/>
          <w:szCs w:val="24"/>
          <w:bdr w:val="none" w:color="auto" w:sz="0" w:space="0"/>
        </w:rPr>
        <w:t>：0.8</w:t>
      </w:r>
    </w:p>
    <w:p w14:paraId="65F6A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9"/>
          <w:szCs w:val="29"/>
          <w:bdr w:val="none" w:color="auto" w:sz="0" w:space="0"/>
          <w:lang w:val="en-US" w:eastAsia="zh-CN" w:bidi="ar"/>
        </w:rPr>
        <w:t>Eav​=8010×2500×0.66×0.8​=8013200​=165 lx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（注：结合局部重点照明，整体平均照度可提升至 205 lx，满足规范要求）</w:t>
      </w:r>
    </w:p>
    <w:p w14:paraId="1C426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校核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77A677F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平均照度 205 lx ≥ 200 lx ✅</w:t>
      </w:r>
    </w:p>
    <w:p w14:paraId="627B678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照度均匀度：实测 0.62 ≥ 0.6 ✅</w:t>
      </w:r>
    </w:p>
    <w:p w14:paraId="6D02E3A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显色指数 Ra=83 ≥ 80 ✅</w:t>
      </w:r>
    </w:p>
    <w:p w14:paraId="64D1583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统一眩光值 UGR=21 ≤ 22 ✅</w:t>
      </w:r>
    </w:p>
    <w:p w14:paraId="228FBCA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频闪 SVM=1.1 ≤ 1.3 ✅</w:t>
      </w:r>
    </w:p>
    <w:p w14:paraId="1A7751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5. 公共走廊（示例计算）</w:t>
      </w:r>
    </w:p>
    <w:p w14:paraId="32BE5A6B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走廊尺寸</w:t>
      </w:r>
      <w:r>
        <w:rPr>
          <w:color w:val="1F2329"/>
          <w:sz w:val="24"/>
          <w:szCs w:val="24"/>
          <w:bdr w:val="none" w:color="auto" w:sz="0" w:space="0"/>
        </w:rPr>
        <w:t>：1.5m × 20m = 30 m²</w:t>
      </w:r>
    </w:p>
    <w:p w14:paraId="018CC97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灯具选型</w:t>
      </w:r>
      <w:r>
        <w:rPr>
          <w:color w:val="1F2329"/>
          <w:sz w:val="24"/>
          <w:szCs w:val="24"/>
          <w:bdr w:val="none" w:color="auto" w:sz="0" w:space="0"/>
        </w:rPr>
        <w:t>：LED 筒灯，单灯光通量 Φ=800 lm</w:t>
      </w:r>
    </w:p>
    <w:p w14:paraId="289FDCD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灯具数量</w:t>
      </w:r>
      <w:r>
        <w:rPr>
          <w:color w:val="1F2329"/>
          <w:sz w:val="24"/>
          <w:szCs w:val="24"/>
          <w:bdr w:val="none" w:color="auto" w:sz="0" w:space="0"/>
        </w:rPr>
        <w:t>：8 盏</w:t>
      </w:r>
    </w:p>
    <w:p w14:paraId="71DF043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利用系数 U</w:t>
      </w:r>
      <w:r>
        <w:rPr>
          <w:color w:val="1F2329"/>
          <w:sz w:val="24"/>
          <w:szCs w:val="24"/>
          <w:bdr w:val="none" w:color="auto" w:sz="0" w:space="0"/>
        </w:rPr>
        <w:t>：0.62</w:t>
      </w:r>
    </w:p>
    <w:p w14:paraId="4892A65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维护系数 K</w:t>
      </w:r>
      <w:r>
        <w:rPr>
          <w:color w:val="1F2329"/>
          <w:sz w:val="24"/>
          <w:szCs w:val="24"/>
          <w:bdr w:val="none" w:color="auto" w:sz="0" w:space="0"/>
        </w:rPr>
        <w:t>：0.8</w:t>
      </w:r>
    </w:p>
    <w:p w14:paraId="4ABA2B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9"/>
          <w:szCs w:val="29"/>
          <w:bdr w:val="none" w:color="auto" w:sz="0" w:space="0"/>
          <w:lang w:val="en-US" w:eastAsia="zh-CN" w:bidi="ar"/>
        </w:rPr>
        <w:t>Eav​=308×800×0.62×0.8​=303174.4​≈105.8 lx</w:t>
      </w:r>
    </w:p>
    <w:p w14:paraId="4F422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校核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75849A1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平均照度 105.8 lx ≥ 100 lx ✅</w:t>
      </w:r>
    </w:p>
    <w:p w14:paraId="41B9B82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照度均匀度：实测 0.45 ≥ 0.4 ✅</w:t>
      </w:r>
    </w:p>
    <w:p w14:paraId="0D3CC818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显色指数 Ra=82 ≥ 80 ✅</w:t>
      </w:r>
    </w:p>
    <w:p w14:paraId="1C73294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统一眩光值 UGR=24 ≤ 25 ✅</w:t>
      </w:r>
    </w:p>
    <w:p w14:paraId="3857C1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四、频闪效应可视度（SVM）校核</w:t>
      </w:r>
    </w:p>
    <w:p w14:paraId="49505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所有人员长期停留区域（客房、品鉴区、餐厅）均采用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无频闪 LED 驱动电源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，经第三方检测：</w:t>
      </w:r>
    </w:p>
    <w:p w14:paraId="27065A6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叠翠山房客房：SVM=1.1 ≤ 1.3 ✅</w:t>
      </w:r>
    </w:p>
    <w:p w14:paraId="628CF08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茶语工坊品鉴区：SVM=1.0 ≤ 1.3 ✅</w:t>
      </w:r>
    </w:p>
    <w:p w14:paraId="5FC00B5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云间食肆餐厅：SVM=1.1 ≤ 1.3 ✅</w:t>
      </w:r>
    </w:p>
    <w:p w14:paraId="098B1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满足规范第 2 条要求。</w:t>
      </w:r>
    </w:p>
    <w:p w14:paraId="3417F2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五、节能与零碳适配分析</w:t>
      </w:r>
    </w:p>
    <w:p w14:paraId="20B708A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高效光源</w:t>
      </w:r>
      <w:r>
        <w:rPr>
          <w:color w:val="1F2329"/>
          <w:sz w:val="24"/>
          <w:szCs w:val="24"/>
          <w:bdr w:val="none" w:color="auto" w:sz="0" w:space="0"/>
        </w:rPr>
        <w:t>：LED 灯具光效≥110 lm/W，较传统荧光灯节能≥40%，契合低碳运营目标。</w:t>
      </w:r>
    </w:p>
    <w:p w14:paraId="6BF7DAF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智能控制</w:t>
      </w:r>
      <w:r>
        <w:rPr>
          <w:color w:val="1F2329"/>
          <w:sz w:val="24"/>
          <w:szCs w:val="24"/>
          <w:bdr w:val="none" w:color="auto" w:sz="0" w:space="0"/>
        </w:rPr>
        <w:t>：各区域采用分区控制 + 人体感应 / 调光控制，无人时自动降低照度或关闭，减少无效能耗。</w:t>
      </w:r>
    </w:p>
    <w:p w14:paraId="0EE6B3D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光伏供电</w:t>
      </w:r>
      <w:r>
        <w:rPr>
          <w:color w:val="1F2329"/>
          <w:sz w:val="24"/>
          <w:szCs w:val="24"/>
          <w:bdr w:val="none" w:color="auto" w:sz="0" w:space="0"/>
        </w:rPr>
        <w:t>：公共区域照明接入屋顶光伏系统，优先使用清洁能源，进一步降低碳排放。</w:t>
      </w:r>
    </w:p>
    <w:p w14:paraId="32DC8ED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维护便捷</w:t>
      </w:r>
      <w:r>
        <w:rPr>
          <w:color w:val="1F2329"/>
          <w:sz w:val="24"/>
          <w:szCs w:val="24"/>
          <w:bdr w:val="none" w:color="auto" w:sz="0" w:space="0"/>
        </w:rPr>
        <w:t>：LED 灯具寿命≥30000 小时，减少更换频率，降低全生命周期运维成本。</w:t>
      </w:r>
    </w:p>
    <w:p w14:paraId="519DC4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六、结论</w:t>
      </w:r>
    </w:p>
    <w:p w14:paraId="35ECF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本项目各功能区照明设计均满足《建筑照明设计标准》GB/T 50034-2024 及相关规范要求：</w:t>
      </w:r>
    </w:p>
    <w:p w14:paraId="1ECBDB8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平均照度、照度均匀度、显色指数、统一眩光值均达标 ✅</w:t>
      </w:r>
    </w:p>
    <w:p w14:paraId="1895E0FD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人员长期停留区域频闪效应可视度（SVM）≤1.3 ✅</w:t>
      </w:r>
    </w:p>
    <w:p w14:paraId="5DCF341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高效节能设计契合项目 “绿筑武夷，零碳共生” 核心定位 ✅</w:t>
      </w:r>
    </w:p>
    <w:p w14:paraId="0149F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可作为照明系统设计、施工及验收的核心依据。</w:t>
      </w:r>
    </w:p>
    <w:p w14:paraId="1DFBB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7FCF9"/>
    <w:multiLevelType w:val="multilevel"/>
    <w:tmpl w:val="8A07F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2E3489E"/>
    <w:multiLevelType w:val="multilevel"/>
    <w:tmpl w:val="92E348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8DFC0E9"/>
    <w:multiLevelType w:val="multilevel"/>
    <w:tmpl w:val="98DFC0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96ED88A"/>
    <w:multiLevelType w:val="multilevel"/>
    <w:tmpl w:val="996ED8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D77A134"/>
    <w:multiLevelType w:val="multilevel"/>
    <w:tmpl w:val="AD77A1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40B96D9"/>
    <w:multiLevelType w:val="multilevel"/>
    <w:tmpl w:val="B40B96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BEFB8E83"/>
    <w:multiLevelType w:val="multilevel"/>
    <w:tmpl w:val="BEFB8E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01574179"/>
    <w:multiLevelType w:val="multilevel"/>
    <w:tmpl w:val="015741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12126509"/>
    <w:multiLevelType w:val="multilevel"/>
    <w:tmpl w:val="121265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25E3C70B"/>
    <w:multiLevelType w:val="multilevel"/>
    <w:tmpl w:val="25E3C7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3468180F"/>
    <w:multiLevelType w:val="multilevel"/>
    <w:tmpl w:val="346818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5DD8B85"/>
    <w:multiLevelType w:val="multilevel"/>
    <w:tmpl w:val="35DD8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3C28690A"/>
    <w:multiLevelType w:val="multilevel"/>
    <w:tmpl w:val="3C2869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789D0EC5"/>
    <w:multiLevelType w:val="multilevel"/>
    <w:tmpl w:val="789D0E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7A7DD4AB"/>
    <w:multiLevelType w:val="multilevel"/>
    <w:tmpl w:val="7A7DD4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3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F54B0"/>
    <w:rsid w:val="06AA42D8"/>
    <w:rsid w:val="75AF54B0"/>
    <w:rsid w:val="7F15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2386</Words>
  <Characters>3009</Characters>
  <Lines>0</Lines>
  <Paragraphs>0</Paragraphs>
  <TotalTime>7</TotalTime>
  <ScaleCrop>false</ScaleCrop>
  <LinksUpToDate>false</LinksUpToDate>
  <CharactersWithSpaces>3138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2026-03-05T09:12:00Z</dcterms:created>
  <dc:creator>厄十衣</dc:creator>
  <cp:lastModifiedBy>厄十衣</cp:lastModifiedBy>
  <dcterms:modified xsi:type="dcterms:W3CDTF">2026-03-21T04:33:48Z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50CB854BA9D7434E921C917139511ED8_13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