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项目名称：绿筑武夷，零碳共生——面向多元人群的共生型山地公社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建筑面积：3048.31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用地面积：12678.36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装配式混凝土结构（含预制构件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45.7245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高性能断桥铝外窗（K≤1.8）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3048.31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36.579723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薄壁不锈钢给水管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12.1932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HDPE双壁波纹排水管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3.0483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不锈钢门窗五金（长寿命）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2.43864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铜质角阀、不锈钢地漏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1.52415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管线检修口（可开启）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0.60966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可再生混凝土（再生骨料≥30%）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平方米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6.0966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高效多联机空调系统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36.5796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独立新风系统+热回收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24.3864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高效风机盘管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12.1932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LED高效照明灯具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3048.31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3.04831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智能照明控制系统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3048.31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1.524155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3048.31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6.09662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环境监测系统（CO/CO₂/温湿度）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3048.31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3.04831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太阳能热水系统（平板集热器）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3048.31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24.38648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BIPV光伏发电系统（含逆变器）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3048.31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54.869583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水源热泵系统（含渗井取水）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3048.31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36.579723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一级水效节水器具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4.57245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可再生混凝土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3048.31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6.09662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安全引导标识系统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3.0483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分类垃圾收集点（景观化）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3048.31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1.524155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屋顶绿化（种植屋面）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18.2898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水铺装（透水混凝土/植草砖）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元/㎡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3048.3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9.1449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353.60336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单位建筑面积增量成本：1160.0元/平方米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