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16FB8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提高建筑结构材料的耐久性。（10分）</w:t>
      </w:r>
    </w:p>
    <w:p w14:paraId="7D67B4A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49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4396"/>
        <w:gridCol w:w="1132"/>
        <w:gridCol w:w="1134"/>
      </w:tblGrid>
      <w:tr w14:paraId="4FB2D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Align w:val="center"/>
          </w:tcPr>
          <w:p w14:paraId="0E8AE1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3221" w:type="pct"/>
            <w:gridSpan w:val="2"/>
            <w:vAlign w:val="center"/>
          </w:tcPr>
          <w:p w14:paraId="00F0726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677" w:type="pct"/>
            <w:vAlign w:val="center"/>
          </w:tcPr>
          <w:p w14:paraId="236284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678" w:type="pct"/>
            <w:vAlign w:val="center"/>
          </w:tcPr>
          <w:p w14:paraId="1571F4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70E41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Align w:val="center"/>
          </w:tcPr>
          <w:p w14:paraId="1C0DAD2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221" w:type="pct"/>
            <w:gridSpan w:val="2"/>
            <w:vAlign w:val="center"/>
          </w:tcPr>
          <w:p w14:paraId="53B85D3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按100年进行耐久性设计</w:t>
            </w:r>
          </w:p>
        </w:tc>
        <w:tc>
          <w:tcPr>
            <w:tcW w:w="677" w:type="pct"/>
            <w:vAlign w:val="center"/>
          </w:tcPr>
          <w:p w14:paraId="62DD4C6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315151401"/>
            <w:placeholder>
              <w:docPart w:val="DD9E5F2402EE43EF8A233D21D3370C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78" w:type="pct"/>
                <w:vMerge w:val="restart"/>
                <w:vAlign w:val="center"/>
              </w:tcPr>
              <w:p w14:paraId="5EC9703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3C0CA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restart"/>
            <w:vAlign w:val="center"/>
          </w:tcPr>
          <w:p w14:paraId="794992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93" w:type="pct"/>
            <w:vMerge w:val="restart"/>
            <w:vAlign w:val="center"/>
          </w:tcPr>
          <w:p w14:paraId="16946E0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采用耐久性能好的建筑结构材料</w:t>
            </w:r>
          </w:p>
        </w:tc>
        <w:tc>
          <w:tcPr>
            <w:tcW w:w="2628" w:type="pct"/>
            <w:vAlign w:val="center"/>
          </w:tcPr>
          <w:p w14:paraId="574D9D2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混凝土构件，提高钢筋保护层厚度或采用高耐久性混凝土</w:t>
            </w:r>
          </w:p>
        </w:tc>
        <w:tc>
          <w:tcPr>
            <w:tcW w:w="677" w:type="pct"/>
            <w:vMerge w:val="restart"/>
            <w:vAlign w:val="center"/>
          </w:tcPr>
          <w:p w14:paraId="57925A6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678" w:type="pct"/>
            <w:vMerge w:val="continue"/>
            <w:vAlign w:val="center"/>
          </w:tcPr>
          <w:p w14:paraId="24A3D41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50CF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continue"/>
            <w:vAlign w:val="center"/>
          </w:tcPr>
          <w:p w14:paraId="4D8A9D4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 w:val="continue"/>
            <w:vAlign w:val="center"/>
          </w:tcPr>
          <w:p w14:paraId="59C05EB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 w14:paraId="43FDAB7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钢构件，采用耐候结构钢</w:t>
            </w:r>
            <w:r>
              <w:rPr>
                <w:rFonts w:hint="eastAsia" w:ascii="Times New Roman" w:hAnsi="Times New Roman" w:cs="Times New Roman"/>
                <w:szCs w:val="21"/>
              </w:rPr>
              <w:t>或</w:t>
            </w:r>
            <w:r>
              <w:rPr>
                <w:rFonts w:ascii="Times New Roman" w:hAnsi="Times New Roman" w:cs="Times New Roman"/>
                <w:szCs w:val="21"/>
              </w:rPr>
              <w:t>耐候性防腐涂料</w:t>
            </w:r>
          </w:p>
        </w:tc>
        <w:tc>
          <w:tcPr>
            <w:tcW w:w="677" w:type="pct"/>
            <w:vMerge w:val="continue"/>
            <w:vAlign w:val="center"/>
          </w:tcPr>
          <w:p w14:paraId="75A7645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 w:val="continue"/>
            <w:vAlign w:val="center"/>
          </w:tcPr>
          <w:p w14:paraId="31C170B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7C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continue"/>
            <w:vAlign w:val="center"/>
          </w:tcPr>
          <w:p w14:paraId="3EAD23B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 w:val="continue"/>
            <w:vAlign w:val="center"/>
          </w:tcPr>
          <w:p w14:paraId="134025A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 w14:paraId="1EF07EE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木构件，采用防腐木材、耐久木材或耐久木制品</w:t>
            </w:r>
          </w:p>
        </w:tc>
        <w:tc>
          <w:tcPr>
            <w:tcW w:w="677" w:type="pct"/>
            <w:vMerge w:val="continue"/>
            <w:vAlign w:val="center"/>
          </w:tcPr>
          <w:p w14:paraId="0B40857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 w:val="continue"/>
            <w:vAlign w:val="center"/>
          </w:tcPr>
          <w:p w14:paraId="454BCB4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54464D9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7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7"/>
        <w:gridCol w:w="4127"/>
      </w:tblGrid>
      <w:tr w14:paraId="39C33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 w14:paraId="281B385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8" w:type="pct"/>
          </w:tcPr>
          <w:p w14:paraId="374DABC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 w14:paraId="0059C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 w14:paraId="10B76D7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建筑结构设计年限</w:t>
            </w:r>
          </w:p>
        </w:tc>
        <w:tc>
          <w:tcPr>
            <w:tcW w:w="2578" w:type="pct"/>
          </w:tcPr>
          <w:p w14:paraId="67F014C5"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50年</w:t>
            </w:r>
          </w:p>
        </w:tc>
      </w:tr>
      <w:tr w14:paraId="3867D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 w14:paraId="0FC97A4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建筑结构材料</w:t>
            </w:r>
          </w:p>
        </w:tc>
        <w:tc>
          <w:tcPr>
            <w:tcW w:w="2578" w:type="pct"/>
          </w:tcPr>
          <w:p w14:paraId="3F659DE9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72163196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混凝土 </w:t>
            </w:r>
            <w:sdt>
              <w:sdtPr>
                <w:rPr>
                  <w:rFonts w:hint="eastAsia"/>
                  <w:sz w:val="28"/>
                </w:rPr>
                <w:id w:val="112166118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钢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61290694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木</w:t>
            </w:r>
          </w:p>
        </w:tc>
      </w:tr>
      <w:tr w14:paraId="2212B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 w14:paraId="0284194A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钢筋保护层</w:t>
            </w:r>
            <w:r>
              <w:rPr>
                <w:rFonts w:ascii="Times New Roman" w:hAnsi="Times New Roman" w:eastAsia="宋体" w:cs="Times New Roman"/>
                <w:szCs w:val="21"/>
              </w:rPr>
              <w:t>厚度</w:t>
            </w:r>
          </w:p>
        </w:tc>
        <w:tc>
          <w:tcPr>
            <w:tcW w:w="2578" w:type="pct"/>
          </w:tcPr>
          <w:p w14:paraId="20CAE07C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比规范要求提高5mm：板、墙≥20mm（室内）≥25mm（室外）；梁、柱≥25mm（室内）≥30mm（室外）；基础≥45mm</w:t>
            </w:r>
          </w:p>
        </w:tc>
      </w:tr>
      <w:tr w14:paraId="61304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 w14:paraId="43C92379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采用高耐久性混凝土</w:t>
            </w:r>
          </w:p>
        </w:tc>
        <w:tc>
          <w:tcPr>
            <w:tcW w:w="2578" w:type="pct"/>
          </w:tcPr>
          <w:p w14:paraId="1662A3B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是——主体结构梁、板、柱、预制外墙板均采用可再生混凝土，再生骨料掺量≥30%，添加粉煤灰、矿渣粉、硅灰等矿物掺合料，抗渗等级P10（规范P8），抗冻等级F200（规范F150），氯离子扩散系数≤3.6×10⁻¹² m²/s，耐久性指标优于同强度等级天然混凝土</w:t>
            </w:r>
          </w:p>
        </w:tc>
      </w:tr>
      <w:tr w14:paraId="480F4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 w14:paraId="143E6707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耐候结构钢或耐候性防腐涂料</w:t>
            </w:r>
          </w:p>
        </w:tc>
        <w:tc>
          <w:tcPr>
            <w:tcW w:w="2578" w:type="pct"/>
          </w:tcPr>
          <w:p w14:paraId="390320D4"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否</w:t>
            </w:r>
          </w:p>
        </w:tc>
      </w:tr>
      <w:tr w14:paraId="47E70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 w14:paraId="0C66C3AC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采用耐久木制品</w:t>
            </w:r>
          </w:p>
        </w:tc>
        <w:tc>
          <w:tcPr>
            <w:tcW w:w="2578" w:type="pct"/>
          </w:tcPr>
          <w:p w14:paraId="5D6D5F1F"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否</w:t>
            </w:r>
          </w:p>
        </w:tc>
      </w:tr>
    </w:tbl>
    <w:p w14:paraId="04F4E95D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提高建筑结构材料耐久性的设计内容和落实情况：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0A56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9356" w:type="dxa"/>
          </w:tcPr>
          <w:p w14:paraId="724A64ED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本项目采用高耐久性可再生混凝土，通过以下措施提升结构材料耐久性：</w:t>
            </w:r>
          </w:p>
          <w:p w14:paraId="7D7DC518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再生骨料高掺量：主体结构混凝土（C30、C35、C40）再生骨料掺量≥30%，再生粗骨料压碎指标≤20%，吸水率≤5.0%，含泥量≤1.0%，符合《混凝土用再生粗骨料》GB/T 25177要求。再生骨料来源为武夷山本地建筑拆除废弃物，经破碎、筛分、强化处理后使用，实现建筑垃圾资源化利用。</w:t>
            </w:r>
          </w:p>
          <w:p w14:paraId="2E67E626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复合胶凝体系优化：采用“水泥+粉煤灰（15%-25%）+矿渣粉（10%-20%）+硅灰（5%-8%）”复合胶凝体系，水胶比控制在0.42-0.48，较同强度等级天然混凝土降低0.03-0.05。添加聚羧酸系高效减水剂（减水率≥25%）和引气剂（含气量3%-5%），提高混凝土密实度和抗冻性能。</w:t>
            </w:r>
          </w:p>
          <w:p w14:paraId="308E0B6A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钢筋保护层厚度提高：所有混凝土构件钢筋保护层厚度比规范要求提高5mm，梁、柱室内环境≥25mm，室外环境≥30mm；板、墙室内环境≥20mm，室外环境≥25mm；基础≥45mm。采用高强度砂浆垫块或塑料卡固定，间距≤800mm，梅花形布置，确保保护层厚度准确。</w:t>
            </w:r>
          </w:p>
          <w:p w14:paraId="0DD04A00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耐久性指标提升：经第三方检测验证，本工程可再生混凝土抗渗等级P10（天然混凝土P8），抗冻等级F200（天然混凝土F150），氯离子扩散系数3.6×10⁻¹² m²/s（天然混凝土4.8×10⁻¹² m²/s），28d碳化深度8mm（天然混凝土10mm），各项耐久性指标均优于同强度等级天然混凝土，满足50年设计使用年限要求。</w:t>
            </w:r>
          </w:p>
          <w:p w14:paraId="0238CA80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质量控制措施：原材料进厂逐批检验，搅拌时间较普通混凝土延长30-60秒，预制构件采用高频振捣，自然养护时间≥14天（蒸汽养护恒温8-12h，最高温度≤65℃）。每100m³制作试块不少于3组，每500m³检验抗渗等级，每1000m³检验抗冻等级，每2000m³检验氯离子扩散系数，确保耐久性目标实现。</w:t>
            </w:r>
          </w:p>
          <w:p w14:paraId="42A936BA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13B7F61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1367AD8A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B7945ED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1）建筑</w:t>
      </w:r>
      <w:r>
        <w:rPr>
          <w:rFonts w:ascii="Times New Roman" w:hAnsi="Times New Roman" w:eastAsia="宋体" w:cs="Times New Roman"/>
          <w:szCs w:val="21"/>
        </w:rPr>
        <w:t>、结构设计</w:t>
      </w:r>
      <w:r>
        <w:rPr>
          <w:rFonts w:hint="eastAsia" w:ascii="Times New Roman" w:hAnsi="Times New Roman" w:eastAsia="宋体" w:cs="Times New Roman"/>
          <w:szCs w:val="21"/>
        </w:rPr>
        <w:t>竣工图：</w:t>
      </w:r>
      <w:r>
        <w:rPr>
          <w:rFonts w:ascii="Times New Roman" w:hAnsi="Times New Roman" w:eastAsia="宋体" w:cs="Times New Roman"/>
          <w:szCs w:val="21"/>
        </w:rPr>
        <w:t>应</w:t>
      </w:r>
      <w:r>
        <w:rPr>
          <w:rFonts w:hint="eastAsia" w:ascii="Times New Roman" w:hAnsi="Times New Roman" w:eastAsia="宋体" w:cs="Times New Roman"/>
          <w:szCs w:val="21"/>
        </w:rPr>
        <w:t>注明</w:t>
      </w:r>
      <w:r>
        <w:rPr>
          <w:rFonts w:ascii="Times New Roman" w:hAnsi="Times New Roman" w:eastAsia="宋体" w:cs="Times New Roman"/>
          <w:szCs w:val="21"/>
        </w:rPr>
        <w:t>本项目采用的高性能材料的类别及</w:t>
      </w:r>
      <w:r>
        <w:rPr>
          <w:rFonts w:hint="eastAsia" w:ascii="Times New Roman" w:hAnsi="Times New Roman" w:eastAsia="宋体" w:cs="Times New Roman"/>
          <w:szCs w:val="21"/>
        </w:rPr>
        <w:t>范围或</w:t>
      </w:r>
      <w:r>
        <w:rPr>
          <w:rFonts w:ascii="Times New Roman" w:hAnsi="Times New Roman" w:eastAsia="宋体" w:cs="Times New Roman"/>
          <w:szCs w:val="21"/>
        </w:rPr>
        <w:t>耐候结构钢、耐候型</w:t>
      </w:r>
      <w:r>
        <w:rPr>
          <w:rFonts w:hint="eastAsia" w:ascii="Times New Roman" w:hAnsi="Times New Roman" w:eastAsia="宋体" w:cs="Times New Roman"/>
          <w:szCs w:val="21"/>
        </w:rPr>
        <w:t>防腐</w:t>
      </w:r>
      <w:r>
        <w:rPr>
          <w:rFonts w:ascii="Times New Roman" w:hAnsi="Times New Roman" w:eastAsia="宋体" w:cs="Times New Roman"/>
          <w:szCs w:val="21"/>
        </w:rPr>
        <w:t>涂料的采用情况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467C50D1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2）耐久性好的建筑结构材料使用情况统计，应提供相关产品说明、检测报告以及建筑结构材料的决算清单；</w:t>
      </w:r>
    </w:p>
    <w:p w14:paraId="2A3532DA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3）项目运行使用中的维护管理记录。</w:t>
      </w:r>
    </w:p>
    <w:p w14:paraId="17C31A27">
      <w:pPr>
        <w:spacing w:line="280" w:lineRule="exact"/>
        <w:rPr>
          <w:rFonts w:hint="eastAsia" w:ascii="Times New Roman" w:hAnsi="Times New Roman" w:eastAsia="宋体" w:cs="Times New Roman"/>
          <w:szCs w:val="21"/>
        </w:rPr>
      </w:pPr>
    </w:p>
    <w:p w14:paraId="55EC8F44">
      <w:pPr>
        <w:widowControl/>
        <w:spacing w:line="280" w:lineRule="exact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9FB3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9356" w:type="dxa"/>
          </w:tcPr>
          <w:p w14:paraId="6F40F4C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安全耐久/高耐久性混凝土.docx</w:t>
            </w:r>
            <w:bookmarkStart w:id="0" w:name="_GoBack"/>
            <w:bookmarkEnd w:id="0"/>
          </w:p>
        </w:tc>
      </w:tr>
    </w:tbl>
    <w:p w14:paraId="2691D8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EE"/>
    <w:rsid w:val="00074A38"/>
    <w:rsid w:val="00355D41"/>
    <w:rsid w:val="0043517B"/>
    <w:rsid w:val="004E4D60"/>
    <w:rsid w:val="00706AA5"/>
    <w:rsid w:val="009E7539"/>
    <w:rsid w:val="00AD2F8A"/>
    <w:rsid w:val="00B31271"/>
    <w:rsid w:val="00B87999"/>
    <w:rsid w:val="00C850C3"/>
    <w:rsid w:val="00C93417"/>
    <w:rsid w:val="00CC1072"/>
    <w:rsid w:val="00D44495"/>
    <w:rsid w:val="00E255EE"/>
    <w:rsid w:val="00EA2D70"/>
    <w:rsid w:val="12EA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3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rPr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标题 4 字符"/>
    <w:basedOn w:val="9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4">
    <w:name w:val="Placeholder Text"/>
    <w:basedOn w:val="9"/>
    <w:semiHidden/>
    <w:qFormat/>
    <w:uiPriority w:val="99"/>
    <w:rPr>
      <w:color w:val="808080"/>
    </w:rPr>
  </w:style>
  <w:style w:type="table" w:customStyle="1" w:styleId="15">
    <w:name w:val="网格型1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样式1"/>
    <w:basedOn w:val="9"/>
    <w:qFormat/>
    <w:uiPriority w:val="1"/>
    <w:rPr>
      <w:rFonts w:eastAsiaTheme="minorEastAsia"/>
      <w:sz w:val="21"/>
    </w:rPr>
  </w:style>
  <w:style w:type="character" w:customStyle="1" w:styleId="17">
    <w:name w:val="标题 3 字符"/>
    <w:basedOn w:val="9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D9E5F2402EE43EF8A233D21D3370C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17E525-182A-4F1E-B47E-0DC4FAC03A1E}"/>
      </w:docPartPr>
      <w:docPartBody>
        <w:p w14:paraId="521C8119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07"/>
    <w:rsid w:val="000E7C16"/>
    <w:rsid w:val="0020310A"/>
    <w:rsid w:val="009A79BE"/>
    <w:rsid w:val="00B87999"/>
    <w:rsid w:val="00BA7107"/>
    <w:rsid w:val="00CA61A0"/>
    <w:rsid w:val="00D26478"/>
    <w:rsid w:val="00D44495"/>
    <w:rsid w:val="00D7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DD9E5F2402EE43EF8A233D21D3370C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541</Words>
  <Characters>555</Characters>
  <Lines>4</Lines>
  <Paragraphs>1</Paragraphs>
  <TotalTime>7</TotalTime>
  <ScaleCrop>false</ScaleCrop>
  <LinksUpToDate>false</LinksUpToDate>
  <CharactersWithSpaces>563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2019-07-12T07:46:00Z</dcterms:created>
  <dc:creator>dongYP</dc:creator>
  <cp:lastModifiedBy>Luffy</cp:lastModifiedBy>
  <dcterms:modified xsi:type="dcterms:W3CDTF">2026-03-21T07:59:39Z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eyJoZGlkIjoiNmNkMGU5ZTdlM2IxOTdmNzM2NzIxOGNkOGE4MmE0ZTAiLCJ1c2VySWQiOiI4MDA4NTQ0MjYifQ==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9E375968160F417FA554A8F1FCFFFE2C_12</vt:lpwstr>
  </property>
</Properties>
</file>