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0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本项目在建筑材料选用上采取以下措施：</w:t>
      </w:r>
    </w:p>
    <w:p w14:paraId="4088D74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一、低挥发环保材料</w:t>
      </w:r>
    </w:p>
    <w:p w14:paraId="1CD54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内装饰选用环保等级达到E0级的板材、水性涂料及无溶剂胶粘剂，主要用量包括：环保板材约1200平方米，水性内墙涂料约800平方米，无溶剂胶粘剂约150平方米。通过材料源头控制，使氨、甲醛、苯、TVOC、氡等污染物浓度相比《室内空气质量标准》GB/T 18883限值降低20%以上。</w:t>
      </w:r>
    </w:p>
    <w:p w14:paraId="5CDFB58E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二、高效空气净化系统</w:t>
      </w:r>
    </w:p>
    <w:p w14:paraId="3D5C2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结合新风系统配置高效过滤装置，采用PM2.5过滤效率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default" w:ascii="Times New Roman" w:hAnsi="Times New Roman" w:cs="Times New Roman"/>
          <w:sz w:val="28"/>
          <w:szCs w:val="28"/>
        </w:rPr>
        <w:t>95%的过滤器。根据空间功能分区设置独立新风系统，确保室内PM2.5年均浓度不高于25μg/m³，PM10年均浓度不高于50μg/m³。</w:t>
      </w:r>
    </w:p>
    <w:p w14:paraId="483B71A6">
      <w:pPr>
        <w:rPr>
          <w:rFonts w:hint="default" w:ascii="Times New Roman" w:hAnsi="Times New Roman" w:cs="Times New Roman"/>
          <w:sz w:val="28"/>
          <w:szCs w:val="28"/>
        </w:rPr>
      </w:pPr>
    </w:p>
    <w:p w14:paraId="6085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以上措施综合作用下，本项目室内空气质量指标可满足三星级绿色建筑评价要求。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2026-03-21T02:09:18Z</dcterms:created>
  <dc:creator>10705</dc:creator>
  <cp:lastModifiedBy>王翔</cp:lastModifiedBy>
  <dcterms:modified xsi:type="dcterms:W3CDTF">2026-03-21T02:10:59Z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9405611BE259409E91BCE1714E8B7DBC_12</vt:lpwstr>
  </property>
</Properties>
</file>