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D2EF1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</w:rPr>
        <w:t>本项目合理设置健身场地和空间，具体措施如下：</w:t>
      </w:r>
    </w:p>
    <w:p w14:paraId="37761AE0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一、室外健身场地</w:t>
      </w:r>
    </w:p>
    <w:p w14:paraId="134CE54C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健身场地布置于场地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东北侧户外水景处，</w:t>
      </w:r>
      <w:r>
        <w:rPr>
          <w:rFonts w:hint="default" w:ascii="Times New Roman" w:hAnsi="Times New Roman" w:cs="Times New Roman"/>
          <w:sz w:val="28"/>
          <w:szCs w:val="28"/>
        </w:rPr>
        <w:t>配置以下设施：</w:t>
      </w:r>
    </w:p>
    <w:p w14:paraId="56A942A5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拉伸活动区：铺设塑胶地垫，供热身及拉伸活动使用；场地地面采用防滑层，周边设置休息座椅，满足不同年龄段人群使用需求。</w:t>
      </w:r>
    </w:p>
    <w:p w14:paraId="41777A7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二、专用健身慢行道</w:t>
      </w:r>
    </w:p>
    <w:p w14:paraId="258AD7D6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场地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周边（校内）有</w:t>
      </w:r>
      <w:r>
        <w:rPr>
          <w:rFonts w:hint="default" w:ascii="Times New Roman" w:hAnsi="Times New Roman" w:cs="Times New Roman"/>
          <w:sz w:val="28"/>
          <w:szCs w:val="28"/>
        </w:rPr>
        <w:t>设置环形健身慢行道，具体参数如下：</w:t>
      </w:r>
    </w:p>
    <w:p w14:paraId="0787CBE5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慢行道宽度1.8m，大于1.25m要求；路面采用透水混凝土面层，防滑、平整，标识清晰；慢行道总长度约320m，用地红线周长约480m，慢行道长度占用地红线周长的67%，超过1/4且不少于100m的要求。慢行道沿场地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周围</w:t>
      </w:r>
      <w:r>
        <w:rPr>
          <w:rFonts w:hint="default" w:ascii="Times New Roman" w:hAnsi="Times New Roman" w:cs="Times New Roman"/>
          <w:sz w:val="28"/>
          <w:szCs w:val="28"/>
        </w:rPr>
        <w:t>环形布置，串联建筑主入口、室外健身场地及公共绿地，沿途设置距离标识与休息座椅。</w:t>
      </w:r>
    </w:p>
    <w:p w14:paraId="1A99D72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三、室内健身空间</w:t>
      </w:r>
    </w:p>
    <w:p w14:paraId="73433735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室内健身空间设置于休闲服务空间内，空间自然采光良好，配备独立空调系统与新风系统，满足健身活动需求。</w:t>
      </w:r>
    </w:p>
    <w:p w14:paraId="39276BA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四、楼梯间设计</w:t>
      </w:r>
    </w:p>
    <w:p w14:paraId="5277665B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项目楼梯间设计满足以下要求：</w:t>
      </w:r>
    </w:p>
    <w:p w14:paraId="5DA15696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天然采光：楼梯间设置侧窗采光，窗地面积比不小于1/8，日间无需人工照明；</w:t>
      </w:r>
    </w:p>
    <w:p w14:paraId="5B36E480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良好视野：楼梯间窗户面向场地内部景观，视野开阔，使用者可欣赏室外绿化；</w:t>
      </w:r>
    </w:p>
    <w:p w14:paraId="4A64C853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声光感应灯：楼梯间照明采用声光感应控制，有人经过时自动亮起，无人时延时关闭，既保证使用便利又节约能源。</w:t>
      </w:r>
    </w:p>
    <w:p w14:paraId="083F8328">
      <w:pPr>
        <w:rPr>
          <w:rFonts w:hint="default" w:ascii="Times New Roman" w:hAnsi="Times New Roman" w:cs="Times New Roman"/>
          <w:sz w:val="28"/>
          <w:szCs w:val="28"/>
        </w:rPr>
      </w:pPr>
    </w:p>
    <w:p w14:paraId="78207F03">
      <w:pPr>
        <w:ind w:firstLine="560" w:firstLineChars="200"/>
      </w:pPr>
      <w:r>
        <w:rPr>
          <w:rFonts w:hint="default" w:ascii="Times New Roman" w:hAnsi="Times New Roman" w:cs="Times New Roman"/>
          <w:sz w:val="28"/>
          <w:szCs w:val="28"/>
        </w:rPr>
        <w:t>本项目室外健身场地面积、专用健身慢行道、室内健身空间及楼梯间设计均满足《绿色建筑评价标准》各项要求。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85FC1"/>
    <w:rsid w:val="63181564"/>
    <w:rsid w:val="6AA423F8"/>
    <w:rsid w:val="6C43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2026-03-21T08:32:56Z</dcterms:created>
  <dc:creator>10705</dc:creator>
  <cp:lastModifiedBy>王翔</cp:lastModifiedBy>
  <dcterms:modified xsi:type="dcterms:W3CDTF">2026-03-21T08:37:56Z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09A240E7752A488C8B1D46C029E2B8F6_12</vt:lpwstr>
  </property>
</Properties>
</file>