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890EE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本项目场地周边城市绿地、广场及公共运动场地等开放空间步行可达，具体分析如下：</w:t>
      </w:r>
    </w:p>
    <w:p w14:paraId="4479F40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一、场地出入口到达城市公园绿地、广场的步行距离</w:t>
      </w:r>
    </w:p>
    <w:p w14:paraId="4F01CC1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项目场地位于开封某高校内，周边开放空间资源丰富：</w:t>
      </w:r>
    </w:p>
    <w:p w14:paraId="66B1B496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场地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北</w:t>
      </w:r>
      <w:r>
        <w:rPr>
          <w:rFonts w:hint="default" w:ascii="Times New Roman" w:hAnsi="Times New Roman" w:cs="Times New Roman"/>
          <w:sz w:val="28"/>
          <w:szCs w:val="28"/>
        </w:rPr>
        <w:t>侧为校内公共绿地及中心广场，与场地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北</w:t>
      </w:r>
      <w:r>
        <w:rPr>
          <w:rFonts w:hint="default" w:ascii="Times New Roman" w:hAnsi="Times New Roman" w:cs="Times New Roman"/>
          <w:sz w:val="28"/>
          <w:szCs w:val="28"/>
        </w:rPr>
        <w:t>侧出入口直接相连，步行距离约80m。该区域占地面积约3000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㎡</w:t>
      </w:r>
      <w:r>
        <w:rPr>
          <w:rFonts w:hint="default" w:ascii="Times New Roman" w:hAnsi="Times New Roman" w:cs="Times New Roman"/>
          <w:sz w:val="28"/>
          <w:szCs w:val="28"/>
        </w:rPr>
        <w:t>，设有草坪、休憩座椅及景观步道，面向校内师生及社会公众开放，具备城市公园绿地及广场功能。</w:t>
      </w:r>
    </w:p>
    <w:p w14:paraId="36BF0595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场地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西</w:t>
      </w:r>
      <w:r>
        <w:rPr>
          <w:rFonts w:hint="default" w:ascii="Times New Roman" w:hAnsi="Times New Roman" w:cs="Times New Roman"/>
          <w:sz w:val="28"/>
          <w:szCs w:val="28"/>
        </w:rPr>
        <w:t>南侧为校园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操场</w:t>
      </w:r>
      <w:r>
        <w:rPr>
          <w:rFonts w:hint="default" w:ascii="Times New Roman" w:hAnsi="Times New Roman" w:cs="Times New Roman"/>
          <w:sz w:val="28"/>
          <w:szCs w:val="28"/>
        </w:rPr>
        <w:t>，与场地南侧出入口步行距离约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00m。该区域设有休闲草坪及景观设施，满足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师生群众</w:t>
      </w:r>
      <w:r>
        <w:rPr>
          <w:rFonts w:hint="default" w:ascii="Times New Roman" w:hAnsi="Times New Roman" w:cs="Times New Roman"/>
          <w:sz w:val="28"/>
          <w:szCs w:val="28"/>
        </w:rPr>
        <w:t>日常休闲需求。</w:t>
      </w:r>
    </w:p>
    <w:p w14:paraId="0EB3B970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经实测，场地出入口到达城市公园绿地、居住区公园或广场的步行距离不超过300m，满足要求。</w:t>
      </w:r>
    </w:p>
    <w:p w14:paraId="724130C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二、到达中型多功能运动场地的步行距离</w:t>
      </w:r>
    </w:p>
    <w:p w14:paraId="6A813309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项目场地南侧约150m处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为高校体育场，设有标准田径跑道、足球场、篮球场、网球场及健身器材区，满足《城市社区体育设施技术要求》JG/T 191对中型多功能运动场地的定义（场地面积</w:t>
      </w:r>
      <w:r>
        <w:rPr>
          <w:rFonts w:hint="eastAsia" w:ascii="宋体" w:hAnsi="宋体" w:eastAsia="宋体" w:cs="宋体"/>
          <w:sz w:val="28"/>
          <w:szCs w:val="28"/>
        </w:rPr>
        <w:t>≥</w:t>
      </w:r>
      <w:r>
        <w:rPr>
          <w:rFonts w:hint="default" w:ascii="Times New Roman" w:hAnsi="Times New Roman" w:cs="Times New Roman"/>
          <w:sz w:val="28"/>
          <w:szCs w:val="28"/>
        </w:rPr>
        <w:t>1000㎡，具备不少于3种运动功能）。</w:t>
      </w:r>
    </w:p>
    <w:p w14:paraId="6465D0F5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经实测，场地出入口到达中型多功能运动场地的步行距离约150m，不超过500m，满足要求。</w:t>
      </w:r>
    </w:p>
    <w:p w14:paraId="27481114">
      <w:pPr>
        <w:ind w:firstLine="560" w:firstLineChars="200"/>
      </w:pPr>
      <w:r>
        <w:rPr>
          <w:rFonts w:hint="default" w:ascii="Times New Roman" w:hAnsi="Times New Roman" w:cs="Times New Roman"/>
          <w:sz w:val="28"/>
          <w:szCs w:val="28"/>
        </w:rPr>
        <w:t>本项目场地出入口到达城市公园绿地、广场的步行距离不大于300m，到达中型多功能运动场地的步行距离不大于500m，满足三星级绿色建筑评价标准要求。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1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2026-03-21T08:22:54Z</dcterms:created>
  <dc:creator>10705</dc:creator>
  <cp:lastModifiedBy>王翔</cp:lastModifiedBy>
  <dcterms:modified xsi:type="dcterms:W3CDTF">2026-03-21T08:26:29Z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B3264E348D93443CBC0D14CF43A8BC0B_12</vt:lpwstr>
  </property>
</Properties>
</file>