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延续·新生·乐活</w:t>
      </w:r>
    </w:p>
    <w:p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3"/>
        <w:rPr>
          <w:rStyle w:val="11"/>
          <w:i w:val="0"/>
          <w:iCs w:val="0"/>
          <w:color w:val="auto"/>
        </w:rPr>
      </w:pPr>
      <w:r>
        <w:rPr>
          <w:rStyle w:val="11"/>
          <w:rFonts w:hint="eastAsia"/>
          <w:i w:val="0"/>
          <w:iCs w:val="0"/>
          <w:color w:val="auto"/>
        </w:rPr>
        <w:t>1</w:t>
      </w:r>
      <w:r>
        <w:rPr>
          <w:rStyle w:val="11"/>
          <w:i w:val="0"/>
          <w:iCs w:val="0"/>
          <w:color w:val="auto"/>
        </w:rPr>
        <w:t xml:space="preserve"> </w:t>
      </w:r>
      <w:r>
        <w:rPr>
          <w:rStyle w:val="11"/>
          <w:rFonts w:hint="eastAsia"/>
          <w:i w:val="0"/>
          <w:iCs w:val="0"/>
          <w:color w:val="auto"/>
        </w:rPr>
        <w:t>项目</w:t>
      </w:r>
      <w:r>
        <w:rPr>
          <w:rStyle w:val="11"/>
          <w:i w:val="0"/>
          <w:iCs w:val="0"/>
          <w:color w:val="auto"/>
        </w:rPr>
        <w:t>概况</w:t>
      </w:r>
    </w:p>
    <w:p>
      <w:pPr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  <w:lang w:val="en-US" w:eastAsia="zh-CN"/>
        </w:rPr>
        <w:t>延续·新生·乐活</w:t>
      </w:r>
    </w:p>
    <w:p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内蒙古包头市青山村</w:t>
      </w:r>
      <w:r>
        <w:rPr>
          <w:sz w:val="24"/>
        </w:rPr>
        <w:t xml:space="preserve">。该项目总用地面积为 </w:t>
      </w:r>
      <w:r>
        <w:rPr>
          <w:rFonts w:hint="eastAsia"/>
          <w:sz w:val="24"/>
          <w:lang w:val="en-US" w:eastAsia="zh-CN"/>
        </w:rPr>
        <w:t>4200</w:t>
      </w:r>
      <w:r>
        <w:rPr>
          <w:sz w:val="24"/>
        </w:rPr>
        <w:t xml:space="preserve"> 平方米，建筑面积为 </w:t>
      </w:r>
      <w:r>
        <w:rPr>
          <w:rFonts w:hint="eastAsia"/>
          <w:sz w:val="24"/>
          <w:lang w:val="en-US" w:eastAsia="zh-CN"/>
        </w:rPr>
        <w:t>920</w:t>
      </w:r>
      <w:r>
        <w:rPr>
          <w:sz w:val="24"/>
        </w:rPr>
        <w:t>平方米。</w:t>
      </w:r>
    </w:p>
    <w:p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57165" cy="2957830"/>
            <wp:effectExtent l="0" t="0" r="635" b="1270"/>
            <wp:docPr id="2" name="图片 2" descr="屏幕截图 2026-03-21 1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 2026-03-21 115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</w:p>
    <w:p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>
      <w:pPr>
        <w:ind w:firstLine="420"/>
        <w:rPr>
          <w:rFonts w:hint="eastAsia" w:asciiTheme="minorEastAsia" w:hAnsiTheme="minorEastAsia" w:eastAsiaTheme="minorEastAsia"/>
          <w:sz w:val="24"/>
          <w:szCs w:val="21"/>
          <w:lang w:eastAsia="zh-CN"/>
        </w:rPr>
      </w:pPr>
      <w:r>
        <w:rPr>
          <w:rFonts w:hint="eastAsia" w:asciiTheme="minorEastAsia" w:hAnsiTheme="minorEastAsia"/>
          <w:sz w:val="24"/>
          <w:szCs w:val="21"/>
        </w:rPr>
        <w:t>地面停车占地面积</w:t>
      </w:r>
      <w:r>
        <w:rPr>
          <w:rFonts w:hint="default" w:asciiTheme="minorEastAsia" w:hAnsiTheme="minorEastAsia"/>
          <w:sz w:val="24"/>
          <w:szCs w:val="21"/>
        </w:rPr>
        <w:t>：3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20</w:t>
      </w:r>
      <w:r>
        <w:rPr>
          <w:rFonts w:hint="default" w:asciiTheme="minorEastAsia" w:hAnsiTheme="minorEastAsia"/>
          <w:sz w:val="24"/>
          <w:szCs w:val="21"/>
        </w:rPr>
        <w:t xml:space="preserve"> 平方米（总建设用地面积：4200 平方米</w:t>
      </w:r>
      <w:r>
        <w:rPr>
          <w:rFonts w:hint="eastAsia" w:asciiTheme="minorEastAsia" w:hAnsiTheme="minorEastAsia"/>
          <w:sz w:val="24"/>
          <w:szCs w:val="21"/>
          <w:lang w:eastAsia="zh-CN"/>
        </w:rPr>
        <w:t>）</w:t>
      </w:r>
    </w:p>
    <w:p>
      <w:pPr>
        <w:ind w:firstLine="420"/>
        <w:rPr>
          <w:rFonts w:hint="default" w:asciiTheme="minorEastAsia" w:hAnsiTheme="minorEastAsia"/>
          <w:sz w:val="24"/>
          <w:szCs w:val="21"/>
        </w:rPr>
      </w:pP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default" w:asciiTheme="minorEastAsia" w:hAnsiTheme="minorEastAsia"/>
          <w:sz w:val="24"/>
          <w:szCs w:val="21"/>
        </w:rPr>
        <w:t>地面停车率 = 地面停车占地面积 ÷ 总建设用地面积</w:t>
      </w:r>
      <w:r>
        <w:rPr>
          <w:rFonts w:hint="default" w:asciiTheme="minorEastAsia" w:hAnsiTheme="minorEastAsia"/>
          <w:sz w:val="24"/>
          <w:szCs w:val="21"/>
        </w:rPr>
        <w:br w:type="textWrapping"/>
      </w:r>
      <w:r>
        <w:rPr>
          <w:rFonts w:hint="default" w:asciiTheme="minorEastAsia" w:hAnsiTheme="minorEastAsia"/>
          <w:sz w:val="24"/>
          <w:szCs w:val="21"/>
        </w:rPr>
        <w:t>= 300 ÷ 4200 ≈ 7.14%</w:t>
      </w:r>
    </w:p>
    <w:p>
      <w:pPr>
        <w:rPr>
          <w:u w:val="single"/>
        </w:rPr>
      </w:pPr>
    </w:p>
    <w:p>
      <w:pPr>
        <w:rPr>
          <w:u w:val="single"/>
        </w:rPr>
      </w:pPr>
    </w:p>
    <w:p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公共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1"/>
        </w:rPr>
        <w:t>建筑地面停车位数量与住宅总套数的比率为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7.14%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</w:t>
      </w:r>
      <w:r>
        <w:rPr>
          <w:rFonts w:hint="eastAsia" w:asciiTheme="minorEastAsia" w:hAnsiTheme="minorEastAsia"/>
          <w:sz w:val="24"/>
          <w:szCs w:val="21"/>
        </w:rPr>
        <w:t>/不满足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3A560B86"/>
    <w:rsid w:val="3EC94C38"/>
    <w:rsid w:val="574C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1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1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284</Words>
  <Characters>323</Characters>
  <Lines>3</Lines>
  <Paragraphs>1</Paragraphs>
  <TotalTime>4</TotalTime>
  <ScaleCrop>false</ScaleCrop>
  <LinksUpToDate>false</LinksUpToDate>
  <CharactersWithSpaces>397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。</cp:lastModifiedBy>
  <dcterms:modified xsi:type="dcterms:W3CDTF">2026-03-21T06:21:59Z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eyJoZGlkIjoiNjA3NWM4NDRmODdkYTAxOGQ3NDg5MjY4MTUxMTM4Y2UiLCJ1c2VySWQiOiI5MDM0NTQxNDUifQ==</vt:lpwstr>
  </property>
  <property fmtid="{D5CDD505-2E9C-101B-9397-08002B2CF9AE}" pid="3" name="KSOProductBuildVer">
    <vt:lpwstr>2052-11.1.0.10009</vt:lpwstr>
  </property>
  <property fmtid="{D5CDD505-2E9C-101B-9397-08002B2CF9AE}" pid="4" name="ICV">
    <vt:lpwstr>E754E9222AA44B628A9E551C1D7FA5DF_13</vt:lpwstr>
  </property>
</Properties>
</file>