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2DCEE6">
      <w:pPr>
        <w:pStyle w:val="2"/>
        <w:jc w:val="center"/>
      </w:pPr>
    </w:p>
    <w:p w14:paraId="1EE8C185">
      <w:pPr>
        <w:pStyle w:val="2"/>
        <w:jc w:val="center"/>
      </w:pPr>
    </w:p>
    <w:p w14:paraId="68DA4F1B">
      <w:pPr>
        <w:pStyle w:val="2"/>
        <w:jc w:val="center"/>
      </w:pPr>
    </w:p>
    <w:p w14:paraId="136CEA3A">
      <w:pPr>
        <w:pStyle w:val="2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绿筑藏幽民宿</w:t>
      </w:r>
    </w:p>
    <w:p w14:paraId="05D720DB">
      <w:pPr>
        <w:pStyle w:val="2"/>
        <w:jc w:val="center"/>
      </w:pPr>
      <w:r>
        <w:rPr>
          <w:rFonts w:hint="eastAsia"/>
        </w:rPr>
        <w:t>地面停车率</w:t>
      </w:r>
      <w:r>
        <w:t>计算书</w:t>
      </w:r>
    </w:p>
    <w:p w14:paraId="49BF741C">
      <w:pPr>
        <w:rPr>
          <w:kern w:val="44"/>
          <w:sz w:val="44"/>
          <w:szCs w:val="44"/>
        </w:rPr>
      </w:pPr>
      <w:r>
        <w:br w:type="page"/>
      </w:r>
    </w:p>
    <w:p w14:paraId="70A273B2">
      <w:pPr>
        <w:pStyle w:val="3"/>
        <w:rPr>
          <w:rStyle w:val="11"/>
          <w:i w:val="0"/>
          <w:iCs w:val="0"/>
          <w:color w:val="auto"/>
        </w:rPr>
      </w:pPr>
      <w:r>
        <w:rPr>
          <w:rStyle w:val="11"/>
          <w:rFonts w:hint="eastAsia"/>
          <w:i w:val="0"/>
          <w:iCs w:val="0"/>
          <w:color w:val="auto"/>
        </w:rPr>
        <w:t>1</w:t>
      </w:r>
      <w:r>
        <w:rPr>
          <w:rStyle w:val="11"/>
          <w:i w:val="0"/>
          <w:iCs w:val="0"/>
          <w:color w:val="auto"/>
        </w:rPr>
        <w:t xml:space="preserve"> </w:t>
      </w:r>
      <w:r>
        <w:rPr>
          <w:rStyle w:val="11"/>
          <w:rFonts w:hint="eastAsia"/>
          <w:i w:val="0"/>
          <w:iCs w:val="0"/>
          <w:color w:val="auto"/>
        </w:rPr>
        <w:t>项目</w:t>
      </w:r>
      <w:r>
        <w:rPr>
          <w:rStyle w:val="11"/>
          <w:i w:val="0"/>
          <w:iCs w:val="0"/>
          <w:color w:val="auto"/>
        </w:rPr>
        <w:t>概况</w:t>
      </w:r>
    </w:p>
    <w:p w14:paraId="754AE387">
      <w:pPr>
        <w:ind w:firstLine="482" w:firstLineChars="200"/>
        <w:rPr>
          <w:rFonts w:hint="default" w:eastAsiaTheme="minorEastAsia"/>
          <w:sz w:val="24"/>
          <w:lang w:val="en-US" w:eastAsia="zh-CN"/>
        </w:rPr>
      </w:pPr>
      <w:r>
        <w:rPr>
          <w:b/>
          <w:sz w:val="24"/>
        </w:rPr>
        <w:t>项目名称</w:t>
      </w:r>
      <w:r>
        <w:rPr>
          <w:sz w:val="24"/>
        </w:rPr>
        <w:t xml:space="preserve">： </w:t>
      </w:r>
      <w:r>
        <w:rPr>
          <w:rFonts w:hint="eastAsia"/>
          <w:sz w:val="24"/>
          <w:lang w:val="en-US" w:eastAsia="zh-CN"/>
        </w:rPr>
        <w:t>绿筑藏幽民宿</w:t>
      </w:r>
    </w:p>
    <w:p w14:paraId="61D9D5BC">
      <w:pPr>
        <w:ind w:firstLine="480" w:firstLineChars="200"/>
        <w:rPr>
          <w:sz w:val="24"/>
        </w:rPr>
      </w:pPr>
      <w:r>
        <w:rPr>
          <w:sz w:val="24"/>
        </w:rPr>
        <w:t>项目位于</w:t>
      </w:r>
      <w:r>
        <w:rPr>
          <w:rFonts w:hint="eastAsia"/>
          <w:sz w:val="24"/>
          <w:lang w:val="en-US" w:eastAsia="zh-CN"/>
        </w:rPr>
        <w:t>内蒙古包头市青山村</w:t>
      </w:r>
      <w:r>
        <w:rPr>
          <w:sz w:val="24"/>
        </w:rPr>
        <w:t xml:space="preserve">。该项目总用地面积为 </w:t>
      </w:r>
      <w:r>
        <w:rPr>
          <w:rFonts w:hint="eastAsia"/>
          <w:sz w:val="24"/>
          <w:lang w:val="en-US" w:eastAsia="zh-CN"/>
        </w:rPr>
        <w:t>4200</w:t>
      </w:r>
      <w:r>
        <w:rPr>
          <w:sz w:val="24"/>
        </w:rPr>
        <w:t xml:space="preserve"> 平方米，建筑面积为 </w:t>
      </w:r>
      <w:r>
        <w:rPr>
          <w:rFonts w:hint="eastAsia"/>
          <w:sz w:val="24"/>
          <w:lang w:val="en-US" w:eastAsia="zh-CN"/>
        </w:rPr>
        <w:t>920</w:t>
      </w:r>
      <w:r>
        <w:rPr>
          <w:sz w:val="24"/>
        </w:rPr>
        <w:t>平方米。</w:t>
      </w:r>
    </w:p>
    <w:p w14:paraId="4F6E7B5E">
      <w:pPr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40020" cy="2705735"/>
            <wp:effectExtent l="0" t="0" r="17780" b="18415"/>
            <wp:docPr id="1" name="图片 1" descr="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75B27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38248C9E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4777EF3E">
      <w:pPr>
        <w:spacing w:line="276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50378-2019第7.2.3 条明确要求：</w:t>
      </w:r>
    </w:p>
    <w:p w14:paraId="44185EFE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采用机械式停车设施、地下停车库或地面停车楼等方式，评价分值为8分，并按下列规则评分：</w:t>
      </w:r>
    </w:p>
    <w:p w14:paraId="182B583D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1   住宅建筑地面停车位数量与住宅总套数的比率应小于10%，得8分；</w:t>
      </w:r>
    </w:p>
    <w:p w14:paraId="531CD836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2  公共建筑地面停车占地面积与其总建设用地面积的比率应小于8%，得8分。</w:t>
      </w:r>
    </w:p>
    <w:p w14:paraId="1269D807">
      <w:pPr>
        <w:ind w:firstLine="420"/>
        <w:rPr>
          <w:rFonts w:asciiTheme="minorEastAsia" w:hAnsiTheme="minorEastAsia"/>
          <w:sz w:val="24"/>
          <w:szCs w:val="21"/>
        </w:rPr>
      </w:pPr>
    </w:p>
    <w:p w14:paraId="501AF868"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02E30349">
      <w:pPr>
        <w:ind w:firstLine="420"/>
        <w:rPr>
          <w:rFonts w:hint="eastAsia" w:asciiTheme="minorEastAsia" w:hAnsiTheme="minorEastAsia" w:eastAsiaTheme="minorEastAsia"/>
          <w:sz w:val="24"/>
          <w:szCs w:val="21"/>
          <w:lang w:eastAsia="zh-CN"/>
        </w:rPr>
      </w:pPr>
      <w:r>
        <w:rPr>
          <w:rFonts w:hint="eastAsia" w:asciiTheme="minorEastAsia" w:hAnsiTheme="minorEastAsia"/>
          <w:sz w:val="24"/>
          <w:szCs w:val="21"/>
        </w:rPr>
        <w:t>地面停车占地面积</w:t>
      </w:r>
      <w:r>
        <w:rPr>
          <w:rFonts w:hint="default" w:asciiTheme="minorEastAsia" w:hAnsiTheme="minorEastAsia"/>
          <w:sz w:val="24"/>
          <w:szCs w:val="21"/>
        </w:rPr>
        <w:t>：3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20</w:t>
      </w:r>
      <w:r>
        <w:rPr>
          <w:rFonts w:hint="default" w:asciiTheme="minorEastAsia" w:hAnsiTheme="minorEastAsia"/>
          <w:sz w:val="24"/>
          <w:szCs w:val="21"/>
        </w:rPr>
        <w:t xml:space="preserve"> 平方米（总建设用地面积：4200 平方米</w:t>
      </w:r>
      <w:r>
        <w:rPr>
          <w:rFonts w:hint="eastAsia" w:asciiTheme="minorEastAsia" w:hAnsiTheme="minorEastAsia"/>
          <w:sz w:val="24"/>
          <w:szCs w:val="21"/>
          <w:lang w:eastAsia="zh-CN"/>
        </w:rPr>
        <w:t>）</w:t>
      </w:r>
    </w:p>
    <w:p w14:paraId="6382ECA9">
      <w:pPr>
        <w:ind w:firstLine="420"/>
        <w:rPr>
          <w:rFonts w:hint="default" w:asciiTheme="minorEastAsia" w:hAnsiTheme="minorEastAsia"/>
          <w:sz w:val="24"/>
          <w:szCs w:val="21"/>
        </w:rPr>
      </w:pPr>
    </w:p>
    <w:p w14:paraId="2D172BB1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default" w:asciiTheme="minorEastAsia" w:hAnsiTheme="minorEastAsia"/>
          <w:sz w:val="24"/>
          <w:szCs w:val="21"/>
        </w:rPr>
        <w:t>地面停车率 = 地面停车占地面积 ÷ 总建设用地面积</w:t>
      </w:r>
      <w:r>
        <w:rPr>
          <w:rFonts w:hint="default" w:asciiTheme="minorEastAsia" w:hAnsiTheme="minorEastAsia"/>
          <w:sz w:val="24"/>
          <w:szCs w:val="21"/>
        </w:rPr>
        <w:br w:type="textWrapping"/>
      </w:r>
      <w:r>
        <w:rPr>
          <w:rFonts w:hint="default" w:asciiTheme="minorEastAsia" w:hAnsiTheme="minorEastAsia"/>
          <w:sz w:val="24"/>
          <w:szCs w:val="21"/>
        </w:rPr>
        <w:t>= 300 ÷ 4200 ≈ 7.14%</w:t>
      </w:r>
    </w:p>
    <w:p w14:paraId="387FD841">
      <w:pPr>
        <w:rPr>
          <w:u w:val="single"/>
        </w:rPr>
      </w:pPr>
    </w:p>
    <w:p w14:paraId="0D152E57">
      <w:pPr>
        <w:rPr>
          <w:u w:val="single"/>
        </w:rPr>
      </w:pPr>
    </w:p>
    <w:p w14:paraId="6351C3C6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6307B06B">
      <w:pPr>
        <w:rPr>
          <w:rFonts w:hint="eastAsia"/>
        </w:rPr>
      </w:pPr>
      <w:r>
        <w:tab/>
      </w:r>
      <w:r>
        <w:rPr>
          <w:rFonts w:hint="eastAsia"/>
        </w:rPr>
        <w:t>经验算</w:t>
      </w:r>
      <w:r>
        <w:t>，</w:t>
      </w:r>
      <w:r>
        <w:rPr>
          <w:rFonts w:hint="eastAsia" w:asciiTheme="minorEastAsia" w:hAnsiTheme="minorEastAsia"/>
          <w:sz w:val="24"/>
          <w:szCs w:val="21"/>
        </w:rPr>
        <w:t>住宅建筑地面停车位数量与住宅总套数的比率为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7.14%</w:t>
      </w:r>
      <w:r>
        <w:rPr>
          <w:rFonts w:hint="eastAsia" w:asciiTheme="minorEastAsia" w:hAnsiTheme="minorEastAsia"/>
          <w:sz w:val="24"/>
          <w:szCs w:val="21"/>
        </w:rPr>
        <w:t>，</w:t>
      </w:r>
      <w:r>
        <w:rPr>
          <w:rFonts w:asciiTheme="minorEastAsia" w:hAnsiTheme="minorEastAsia"/>
          <w:sz w:val="24"/>
          <w:szCs w:val="21"/>
        </w:rPr>
        <w:t>满足</w:t>
      </w:r>
      <w:r>
        <w:rPr>
          <w:rFonts w:hint="eastAsia" w:asciiTheme="minorEastAsia" w:hAnsiTheme="minorEastAsia"/>
          <w:sz w:val="24"/>
          <w:szCs w:val="21"/>
        </w:rPr>
        <w:t>/不满足</w:t>
      </w:r>
      <w:r>
        <w:rPr>
          <w:rFonts w:asciiTheme="minorEastAsia" w:hAnsiTheme="minorEastAsia"/>
          <w:sz w:val="24"/>
          <w:szCs w:val="21"/>
        </w:rPr>
        <w:t>规范要求，可得</w:t>
      </w:r>
      <w:r>
        <w:rPr>
          <w:rFonts w:hint="eastAsia" w:asciiTheme="minorEastAsia" w:hAnsiTheme="minorEastAsia"/>
          <w:sz w:val="24"/>
          <w:szCs w:val="21"/>
        </w:rPr>
        <w:t>8分</w:t>
      </w:r>
      <w:r>
        <w:rPr>
          <w:rFonts w:asciiTheme="minorEastAsia" w:hAnsiTheme="minorEastAsia"/>
          <w:sz w:val="24"/>
          <w:szCs w:val="21"/>
        </w:rPr>
        <w:t>。</w:t>
      </w:r>
    </w:p>
    <w:p w14:paraId="00E169BF">
      <w:pPr>
        <w:rPr>
          <w:rFonts w:hint="eastAsia"/>
          <w:u w:val="single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427EC4"/>
    <w:rsid w:val="00625AA6"/>
    <w:rsid w:val="00E94094"/>
    <w:rsid w:val="574C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ubtitle"/>
    <w:basedOn w:val="1"/>
    <w:next w:val="1"/>
    <w:link w:val="10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5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8">
    <w:name w:val="Strong"/>
    <w:basedOn w:val="7"/>
    <w:qFormat/>
    <w:uiPriority w:val="22"/>
    <w:rPr>
      <w:b/>
    </w:rPr>
  </w:style>
  <w:style w:type="character" w:customStyle="1" w:styleId="9">
    <w:name w:val="标题 1 Char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10">
    <w:name w:val="副标题 Char"/>
    <w:basedOn w:val="7"/>
    <w:link w:val="4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1">
    <w:name w:val="Subtle Emphasis"/>
    <w:basedOn w:val="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2">
    <w:name w:val="标题 Char"/>
    <w:basedOn w:val="7"/>
    <w:link w:val="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">
    <w:name w:val="标题 2 Char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284</Words>
  <Characters>323</Characters>
  <Lines>3</Lines>
  <Paragraphs>1</Paragraphs>
  <TotalTime>4</TotalTime>
  <ScaleCrop>false</ScaleCrop>
  <LinksUpToDate>false</LinksUpToDate>
  <CharactersWithSpaces>397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寄长风</cp:lastModifiedBy>
  <dcterms:modified xsi:type="dcterms:W3CDTF">2025-03-13T06:44:09Z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eyJoZGlkIjoiNjA3NWM4NDRmODdkYTAxOGQ3NDg5MjY4MTUxMTM4Y2UiLCJ1c2VySWQiOiI5MDM0NTQxNDUifQ==</vt:lpwstr>
  </property>
  <property fmtid="{D5CDD505-2E9C-101B-9397-08002B2CF9AE}" pid="3" name="KSOProductBuildVer">
    <vt:lpwstr>2052-12.1.0.20305</vt:lpwstr>
  </property>
  <property fmtid="{D5CDD505-2E9C-101B-9397-08002B2CF9AE}" pid="4" name="ICV">
    <vt:lpwstr>E754E9222AA44B628A9E551C1D7FA5DF_13</vt:lpwstr>
  </property>
</Properties>
</file>