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绿境之窗—面向低碳未来的生态酒店设计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浙江科技大学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参与单位名称：浙江科技大学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咨询单位名称：浙江科技大学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 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围护结构提高12%或负荷降低%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达到高要求标准限值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卧室分户墙和卧室分户楼板两侧房间之间的空气声隔声性能（计权标准化声压级差与交通噪声频谱修正量之和DnT,w+Ctr)≥50dB，卧室分户楼板的撞击声隔声性能（计权标准化撞击声压级L'nT,w）≤55dB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外窗气密性能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符合国家现行相关节能设计标准的规定，且外窗洞口与外窗本体的结合部位应严密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89.0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68.0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70.0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165.0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98.0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总得分：Q=（Q0+Q1+Q2+Q3+Q4+Q5+QA）/10=99.0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867631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867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210236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210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场地应避开滑坡、泥石流等地质危险地段，易发生洪涝地区应有可靠的防洪涝基础设施；场地应无危险化学品、易燃易爆危险源的威胁，应无电磁辐射、含氡土壤的危害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建筑结构应满足承载力和建筑使用功能要求。建筑外墙、屋面、门窗、幕墙及外保温等围护结构应满足安全、耐久和防护的要求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外遮阳、太阳能设施、空调室外机位、外墙花池等外部设施应与建筑主体结构统一设计、施工，并应具备安装、检修与维护条件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建筑内部的非结构件、设备及附属设施等应连接牢固并能适应主体结构变形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建筑外门窗必须安装牢固，其抗风压性能和水密性能应符合国家现行有关标准的规定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卫生间、浴室的地面应设置防水层，墙面、顶棚应设置防潮层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走廊、疏散通道等通行空间应满足紧急疏散、应急救护等要求，且应保持畅通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应具有安全防护的警示和引导标识相统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安全耐久相关技术要求应符合现行强制性工程建设规范《工程结构通用规范》GB 55001、《建筑与市政工程抗震通用规范》GB55002、《建筑与市政地基基础通用规范》GB 55003、《组合结构通用规范》GB 55004、《木结构通用规范》GB 55005、《钢结构通用规范》GB 55006、《砌体结构通用规范》GB 55007、《混凝土结构通用规范》GB 55008、《燃气工程项目规范》GB 55009、《供热工程项目规范》GB 55010、《建筑环境通用规范》GB 55016、《建筑给水排水与节水通用规范》GB 55020、《民用建筑通用规范》GB 55031、《建筑防火通用规范》GB 55037等的规定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采用基于性能的抗震设计并合理提高建筑的抗震性能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采取保障人员安全的防护措施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采用具有安全防护功能的产品或配件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室内外地面或路面设置防滑措施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采取人车分流措施，且步行和自行车交通系统有充足照明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采取提升建筑适变性的措施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采取提升建筑部品部件耐久性的措施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提高建筑结构材料的耐久性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合理采用耐久性好、易维护的装饰装修建筑材料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3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89.0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