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6C62"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 w14:paraId="41ADE15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220"/>
        <w:gridCol w:w="2148"/>
        <w:gridCol w:w="1406"/>
        <w:gridCol w:w="1330"/>
      </w:tblGrid>
      <w:tr w14:paraId="60A1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pct"/>
            <w:vAlign w:val="center"/>
          </w:tcPr>
          <w:p w14:paraId="46A9A19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739" w:type="pct"/>
            <w:gridSpan w:val="2"/>
            <w:vAlign w:val="center"/>
          </w:tcPr>
          <w:p w14:paraId="74A9DEEC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882" w:type="pct"/>
            <w:vAlign w:val="center"/>
          </w:tcPr>
          <w:p w14:paraId="33D9EA3D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 w14:paraId="49FBEC38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771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45" w:type="pct"/>
            <w:vMerge w:val="restart"/>
            <w:vAlign w:val="center"/>
          </w:tcPr>
          <w:p w14:paraId="401359B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392" w:type="pct"/>
            <w:vMerge w:val="restart"/>
            <w:vAlign w:val="center"/>
          </w:tcPr>
          <w:p w14:paraId="4166861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347" w:type="pct"/>
            <w:vAlign w:val="center"/>
          </w:tcPr>
          <w:p w14:paraId="15323549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夏热冬暖和温和B地区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达到12%</w:t>
            </w:r>
          </w:p>
        </w:tc>
        <w:tc>
          <w:tcPr>
            <w:tcW w:w="882" w:type="pct"/>
            <w:vMerge w:val="restart"/>
            <w:vAlign w:val="center"/>
          </w:tcPr>
          <w:p w14:paraId="4232F5B4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239524457"/>
            <w:placeholder>
              <w:docPart w:val="0675B02D5BE64496B9DB38A34575222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835" w:type="pct"/>
                <w:vMerge w:val="restart"/>
                <w:vAlign w:val="center"/>
              </w:tcPr>
              <w:p w14:paraId="3808DF78"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</w:tr>
      <w:tr w14:paraId="2CB9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75B9C9C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 w:val="continue"/>
            <w:vAlign w:val="center"/>
          </w:tcPr>
          <w:p w14:paraId="737F772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7C0B815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夏热冬冷和温和A地区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达到8%</w:t>
            </w:r>
          </w:p>
        </w:tc>
        <w:tc>
          <w:tcPr>
            <w:tcW w:w="882" w:type="pct"/>
            <w:vMerge w:val="continue"/>
            <w:vAlign w:val="center"/>
          </w:tcPr>
          <w:p w14:paraId="606EB76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 w14:paraId="127EF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A31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51701409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 w:val="continue"/>
            <w:vAlign w:val="center"/>
          </w:tcPr>
          <w:p w14:paraId="53BD7A2E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2705198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其他地区达到5%</w:t>
            </w:r>
          </w:p>
        </w:tc>
        <w:tc>
          <w:tcPr>
            <w:tcW w:w="882" w:type="pct"/>
            <w:vMerge w:val="continue"/>
            <w:vAlign w:val="center"/>
          </w:tcPr>
          <w:p w14:paraId="09B1B361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 w14:paraId="013B477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65D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pct"/>
            <w:vMerge w:val="continue"/>
            <w:vAlign w:val="center"/>
          </w:tcPr>
          <w:p w14:paraId="30A4811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39" w:type="pct"/>
            <w:gridSpan w:val="2"/>
            <w:vAlign w:val="center"/>
          </w:tcPr>
          <w:p w14:paraId="31F93BC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增加2%</w:t>
            </w:r>
          </w:p>
        </w:tc>
        <w:tc>
          <w:tcPr>
            <w:tcW w:w="882" w:type="pct"/>
            <w:vAlign w:val="center"/>
          </w:tcPr>
          <w:p w14:paraId="417714C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 w14:paraId="1064640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432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0762B20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39" w:type="pct"/>
            <w:gridSpan w:val="2"/>
            <w:vAlign w:val="center"/>
          </w:tcPr>
          <w:p w14:paraId="7054A12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增加4%</w:t>
            </w:r>
          </w:p>
        </w:tc>
        <w:tc>
          <w:tcPr>
            <w:tcW w:w="882" w:type="pct"/>
            <w:vAlign w:val="center"/>
          </w:tcPr>
          <w:p w14:paraId="79B7B44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 w14:paraId="178CEB7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B3D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7201C30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39" w:type="pct"/>
            <w:gridSpan w:val="2"/>
            <w:vAlign w:val="center"/>
          </w:tcPr>
          <w:p w14:paraId="48A32D1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增加6%</w:t>
            </w:r>
          </w:p>
        </w:tc>
        <w:tc>
          <w:tcPr>
            <w:tcW w:w="882" w:type="pct"/>
            <w:vAlign w:val="center"/>
          </w:tcPr>
          <w:p w14:paraId="3704E36E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 w14:paraId="5195CF4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9A5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45" w:type="pct"/>
            <w:vMerge w:val="restart"/>
            <w:vAlign w:val="center"/>
          </w:tcPr>
          <w:p w14:paraId="01AC593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392" w:type="pct"/>
            <w:vMerge w:val="restart"/>
            <w:vAlign w:val="center"/>
          </w:tcPr>
          <w:p w14:paraId="4BE7BA7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</w:t>
            </w:r>
          </w:p>
        </w:tc>
        <w:tc>
          <w:tcPr>
            <w:tcW w:w="1347" w:type="pct"/>
            <w:vAlign w:val="center"/>
          </w:tcPr>
          <w:p w14:paraId="13E87FF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882" w:type="pct"/>
            <w:vAlign w:val="center"/>
          </w:tcPr>
          <w:p w14:paraId="5982A57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 w:val="continue"/>
            <w:vAlign w:val="center"/>
          </w:tcPr>
          <w:p w14:paraId="0413761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75E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519CD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 w:val="continue"/>
            <w:vAlign w:val="center"/>
          </w:tcPr>
          <w:p w14:paraId="09CD2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1F95D11E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882" w:type="pct"/>
            <w:vAlign w:val="center"/>
          </w:tcPr>
          <w:p w14:paraId="5184345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 w14:paraId="57D9535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A96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1DDC9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 w:val="continue"/>
            <w:vAlign w:val="center"/>
          </w:tcPr>
          <w:p w14:paraId="31BD1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3ED0AEA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882" w:type="pct"/>
            <w:vAlign w:val="center"/>
          </w:tcPr>
          <w:p w14:paraId="66CA43DE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 w14:paraId="789A82B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A9A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67CA4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 w:val="continue"/>
            <w:vAlign w:val="center"/>
          </w:tcPr>
          <w:p w14:paraId="56C88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654ED6F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882" w:type="pct"/>
            <w:vAlign w:val="center"/>
          </w:tcPr>
          <w:p w14:paraId="1C99185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 w14:paraId="3848C429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6914C26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72F7C8">
      <w:pPr>
        <w:rPr>
          <w:lang w:val="zh-CN"/>
        </w:rPr>
      </w:pPr>
      <w:r>
        <w:rPr>
          <w:rFonts w:hint="eastAsia"/>
        </w:rPr>
        <w:t>项目所处城市的建筑热工气候分区：</w:t>
      </w:r>
      <w:r>
        <w:rPr>
          <w:rFonts w:hint="eastAsia" w:ascii="宋体" w:hAnsi="宋体" w:eastAsia="宋体" w:cs="Times New Roman"/>
          <w:szCs w:val="21"/>
          <w:lang w:eastAsia="zh-CN"/>
        </w:rPr>
        <w:t>☑</w:t>
      </w:r>
      <w:r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□温和A</w:t>
      </w:r>
    </w:p>
    <w:p w14:paraId="311173C5">
      <w:r>
        <w:rPr>
          <w:rFonts w:hint="eastAsia"/>
          <w:lang w:val="zh-CN"/>
        </w:rPr>
        <w:t>□温和B</w:t>
      </w:r>
    </w:p>
    <w:p w14:paraId="419891FE">
      <w:pPr>
        <w:rPr>
          <w:rFonts w:hint="eastAsia" w:ascii="宋体" w:hAnsi="宋体" w:eastAsia="宋体" w:cs="Times New Roman"/>
          <w:szCs w:val="21"/>
        </w:rPr>
      </w:pPr>
    </w:p>
    <w:p w14:paraId="15258B0D"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居住建筑</w:t>
      </w:r>
    </w:p>
    <w:p w14:paraId="5C543A07">
      <w:r>
        <w:rPr>
          <w:rFonts w:hint="eastAsia"/>
        </w:rPr>
        <w:t>主要功能房间通风开口面积与房间地板面积比例表：</w:t>
      </w: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36"/>
        <w:gridCol w:w="1656"/>
        <w:gridCol w:w="3336"/>
        <w:gridCol w:w="1568"/>
      </w:tblGrid>
      <w:tr w14:paraId="0AD8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</w:tcPr>
          <w:p w14:paraId="26430340"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 w14:paraId="73E06685"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 w14:paraId="02C9E5F8"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 w14:paraId="16881311"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 w14:paraId="7D5040F3"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 w14:paraId="7451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35E2D8E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5AA8687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09BC86C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208C640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44E7310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758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724A6DE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2C664B1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6B5BC96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3B49A37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1312126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9BD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47CC54C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04DD76A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3F1D405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6039ACA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1FA28B1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9FA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467A6B7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6178ACE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6D8E3ED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050D699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6E97A0A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D1A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291655F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58ECB79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0C4C64B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69C17FA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3F4BE19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8914BDE">
      <w:pPr>
        <w:rPr>
          <w:lang w:val="zh-CN"/>
        </w:rPr>
      </w:pPr>
    </w:p>
    <w:p w14:paraId="59187623">
      <w:r>
        <w:rPr>
          <w:rFonts w:hint="eastAsia"/>
          <w:lang w:val="zh-CN"/>
        </w:rPr>
        <w:t>☑</w:t>
      </w:r>
      <w:r>
        <w:rPr>
          <w:rFonts w:hint="eastAsia"/>
        </w:rPr>
        <w:t>公共建筑</w:t>
      </w:r>
    </w:p>
    <w:p w14:paraId="1A790B89"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☑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☑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☑</w:t>
      </w:r>
      <w:r>
        <w:rPr>
          <w:rFonts w:hint="eastAsia"/>
        </w:rPr>
        <w:t>构造设计</w:t>
      </w:r>
    </w:p>
    <w:p w14:paraId="30BC530C"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6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206"/>
        <w:gridCol w:w="2407"/>
        <w:gridCol w:w="2139"/>
      </w:tblGrid>
      <w:tr w14:paraId="686E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</w:tcPr>
          <w:p w14:paraId="43CAC9C0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 w14:paraId="55AAB526">
            <w:pPr>
              <w:jc w:val="center"/>
            </w:pPr>
            <w:r>
              <w:rPr>
                <w:rFonts w:hint="eastAsia"/>
              </w:rPr>
              <w:t>主要功能空间面积（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 w14:paraId="10F449F3">
            <w:pPr>
              <w:jc w:val="center"/>
            </w:pPr>
            <w:r>
              <w:rPr>
                <w:rFonts w:hint="eastAsia"/>
              </w:rPr>
              <w:t>达标面积（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 w14:paraId="06C5AC46">
            <w:pPr>
              <w:jc w:val="center"/>
            </w:pPr>
            <w:r>
              <w:rPr>
                <w:rFonts w:hint="eastAsia"/>
              </w:rPr>
              <w:t>通风达标比例（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4133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78175B8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客房区域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331EFB1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5000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4694AD3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4800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50C56EA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96%</w:t>
                </w:r>
              </w:p>
            </w:tc>
          </w:sdtContent>
        </w:sdt>
      </w:tr>
      <w:tr w14:paraId="2666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6EF32FA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大堂、全日制餐厅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0278CF8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3000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6FBD184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2700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445906C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90%</w:t>
                </w:r>
              </w:p>
            </w:tc>
          </w:sdtContent>
        </w:sdt>
      </w:tr>
      <w:tr w14:paraId="66A6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53E3159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会议室、行政办公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49BF6F5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1500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501FF6C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1000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754B591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66.7%</w:t>
                </w:r>
              </w:p>
            </w:tc>
          </w:sdtContent>
        </w:sdt>
      </w:tr>
      <w:tr w14:paraId="337B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1380945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46C733F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6321F96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2968C5D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451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2EC2752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7514F2B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3FB0545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6AA12D4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856EEBC"/>
    <w:p w14:paraId="5A116821">
      <w:pPr>
        <w:widowControl/>
        <w:jc w:val="left"/>
      </w:pPr>
      <w:r>
        <w:br w:type="page"/>
      </w:r>
    </w:p>
    <w:p w14:paraId="68D49EE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 w14:paraId="45C1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046" w:type="dxa"/>
          </w:tcPr>
          <w:p w14:paraId="0D4205C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本项目采用南北通透的板式布局，建筑主朝向顺应夏季主导风向，利于形成穿堂风。平面设计中，客房及公共区域均采用明窗设计，可开启窗扇面积比不低于30%，确保有效通风路径。</w:t>
            </w:r>
          </w:p>
          <w:p w14:paraId="3A1011F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在构造设计上，大堂及中庭区域设置了可开启的高侧窗，利用热压通风原理（烟囱效应）在过渡季辅助散热。</w:t>
            </w:r>
          </w:p>
          <w:p w14:paraId="3FE16A8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经模拟分析，过渡季主要功能房间自然通风换气次数均大于2次/h，达标面积达89.5%，显著降低了空调能耗，提升了室内空气品质。</w:t>
            </w:r>
          </w:p>
        </w:tc>
      </w:tr>
    </w:tbl>
    <w:p w14:paraId="25AC1CC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6D7CD6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FEF2E6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建筑施工图设计说明、平立剖面图、门窗表等设计文件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05D4CED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2）住宅建筑外窗可开启面积比例计算书、公共建筑室内自然通风模拟分析报告。</w:t>
      </w:r>
    </w:p>
    <w:p w14:paraId="5EDF76D4">
      <w:pPr>
        <w:rPr>
          <w:rFonts w:ascii="Times New Roman" w:hAnsi="Times New Roman" w:eastAsia="宋体" w:cs="Times New Roman"/>
          <w:szCs w:val="21"/>
        </w:rPr>
      </w:pPr>
    </w:p>
    <w:p w14:paraId="3DDE998D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6F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FB59DB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8BDC1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C"/>
    <w:rsid w:val="000056E1"/>
    <w:rsid w:val="00074A38"/>
    <w:rsid w:val="000A55DC"/>
    <w:rsid w:val="00100A6D"/>
    <w:rsid w:val="002F6B53"/>
    <w:rsid w:val="00382659"/>
    <w:rsid w:val="003B0A22"/>
    <w:rsid w:val="004F4EFD"/>
    <w:rsid w:val="00563D41"/>
    <w:rsid w:val="005F7CE1"/>
    <w:rsid w:val="00696CBA"/>
    <w:rsid w:val="007A071A"/>
    <w:rsid w:val="007B4213"/>
    <w:rsid w:val="00823DFC"/>
    <w:rsid w:val="00891F79"/>
    <w:rsid w:val="008C6893"/>
    <w:rsid w:val="008D6249"/>
    <w:rsid w:val="008F70A4"/>
    <w:rsid w:val="00B310C5"/>
    <w:rsid w:val="00BB353A"/>
    <w:rsid w:val="00C15C97"/>
    <w:rsid w:val="00C409D8"/>
    <w:rsid w:val="00D44495"/>
    <w:rsid w:val="00E7567C"/>
    <w:rsid w:val="00F1754C"/>
    <w:rsid w:val="55B472B0"/>
    <w:rsid w:val="721D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675B02D5BE64496B9DB38A345752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71C495-CBA7-452F-A9A9-35DB44DBDA65}"/>
      </w:docPartPr>
      <w:docPartBody>
        <w:p w14:paraId="2728F545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 w14:paraId="68CB6E18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 w14:paraId="29ED672F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 w14:paraId="6BF4CD95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 w14:paraId="5BA83A0F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 w14:paraId="001A5818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 w14:paraId="2B7DC758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 w14:paraId="4E56EB03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 w14:paraId="215401A1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 w14:paraId="7AF95AD8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 w14:paraId="75D52293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 w14:paraId="5527B331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 w14:paraId="08D7FD1B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 w14:paraId="328DDF7B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 w14:paraId="51BFFB1B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 w14:paraId="54CF5AF3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 w14:paraId="1D85CA6F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 w14:paraId="559393BC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 w14:paraId="210E3DE7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 w14:paraId="63E7B954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 w14:paraId="0F940691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 w14:paraId="675BB3AC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 w14:paraId="23EC4114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 w14:paraId="2A383BF6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 w14:paraId="602340C8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 w14:paraId="3639438A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123497-E2E1-43DC-B5F4-40B5B0714474}"/>
      </w:docPartPr>
      <w:docPartBody>
        <w:p w14:paraId="34EA11A2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4971BD-C2DA-45F4-9649-0F913F63D2E6}"/>
      </w:docPartPr>
      <w:docPartBody>
        <w:p w14:paraId="68797447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A520C-BBB5-48B5-87B3-345124F208B3}"/>
      </w:docPartPr>
      <w:docPartBody>
        <w:p w14:paraId="2FBC8C25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71BAA-0AE1-4EAC-9E93-40C96A210989}"/>
      </w:docPartPr>
      <w:docPartBody>
        <w:p w14:paraId="7FE323D6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28E14-2A33-4D93-AA78-37F527440EF8}"/>
      </w:docPartPr>
      <w:docPartBody>
        <w:p w14:paraId="757F98D4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64BAF-61DC-4960-B8A4-9521B4D2443B}"/>
      </w:docPartPr>
      <w:docPartBody>
        <w:p w14:paraId="41D38F82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5B00A-9E3D-432C-8F5F-F076454D9D98}"/>
      </w:docPartPr>
      <w:docPartBody>
        <w:p w14:paraId="243C90A7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8142E3-7B79-4DE1-B4D2-0FEC115C397C}"/>
      </w:docPartPr>
      <w:docPartBody>
        <w:p w14:paraId="78637C2D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CA350-3278-470C-9A41-120F09B21002}"/>
      </w:docPartPr>
      <w:docPartBody>
        <w:p w14:paraId="25CECD59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30FD8-0C65-422E-9703-71F97FAFA28B}"/>
      </w:docPartPr>
      <w:docPartBody>
        <w:p w14:paraId="24829DFE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A1201B-6569-416B-A5A0-B275123B3DE6}"/>
      </w:docPartPr>
      <w:docPartBody>
        <w:p w14:paraId="2D2D1735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5AE32-A4BC-4EDD-89B0-14A45C3F3C5E}"/>
      </w:docPartPr>
      <w:docPartBody>
        <w:p w14:paraId="7F4EC237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3D72-275A-4AE4-AA7B-E5C6B8009BDE}"/>
      </w:docPartPr>
      <w:docPartBody>
        <w:p w14:paraId="056E8226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3A985-5204-4A40-8DE6-A06F421D67BA}"/>
      </w:docPartPr>
      <w:docPartBody>
        <w:p w14:paraId="220EDE0C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57E58-575B-4704-98F0-4C50FC2E214B}"/>
      </w:docPartPr>
      <w:docPartBody>
        <w:p w14:paraId="40F187C7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ABE13-675C-4EA0-89EF-8A1BF58E7261}"/>
      </w:docPartPr>
      <w:docPartBody>
        <w:p w14:paraId="6BA95BC7">
          <w:pPr>
            <w:pStyle w:val="4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40F72-9CCC-44C6-8ECE-F63CFD9087D5}"/>
      </w:docPartPr>
      <w:docPartBody>
        <w:p w14:paraId="328A0D1A">
          <w:pPr>
            <w:pStyle w:val="4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8BC05-36CF-4BA4-9692-D02106264E3F}"/>
      </w:docPartPr>
      <w:docPartBody>
        <w:p w14:paraId="0044DAB5">
          <w:pPr>
            <w:pStyle w:val="4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78395-768F-43A0-87E8-4D73542329D3}"/>
      </w:docPartPr>
      <w:docPartBody>
        <w:p w14:paraId="4C51A378">
          <w:pPr>
            <w:pStyle w:val="4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51480-AA82-4896-9774-6F5C96A6FAA4}"/>
      </w:docPartPr>
      <w:docPartBody>
        <w:p w14:paraId="6A81816B">
          <w:pPr>
            <w:pStyle w:val="5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2E35B0"/>
    <w:rsid w:val="00491062"/>
    <w:rsid w:val="004D1AB4"/>
    <w:rsid w:val="00522EBD"/>
    <w:rsid w:val="007C2105"/>
    <w:rsid w:val="00BC7EB7"/>
    <w:rsid w:val="00CF7EAA"/>
    <w:rsid w:val="00D44495"/>
    <w:rsid w:val="00DD5EF2"/>
    <w:rsid w:val="00EB6E48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675B02D5BE64496B9DB38A345752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805</Characters>
  <Lines>21</Lines>
  <Paragraphs>32</Paragraphs>
  <TotalTime>28</TotalTime>
  <ScaleCrop>false</ScaleCrop>
  <LinksUpToDate>false</LinksUpToDate>
  <CharactersWithSpaces>909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文清</cp:lastModifiedBy>
  <dcterms:modified xsi:type="dcterms:W3CDTF">2026-03-29T07:09:36Z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46E430C30E7646ADB23FD90E804B128D_12</vt:lpwstr>
  </property>
</Properties>
</file>