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AFC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3965709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483F6240"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 w14:paraId="2A26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52C56F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14:paraId="2FFE7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6F029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14:paraId="1B494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023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55DA9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4B7ECFB1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455"/>
            <w:bookmarkStart w:id="1" w:name="_Toc9945314"/>
            <w:bookmarkStart w:id="2" w:name="_Toc9945172"/>
            <w:bookmarkStart w:id="3" w:name="_Toc9945028"/>
            <w:bookmarkStart w:id="4" w:name="_Toc9944748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14:paraId="4CF561F8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4749"/>
            <w:bookmarkStart w:id="6" w:name="_Toc9945173"/>
            <w:bookmarkStart w:id="7" w:name="_Toc9945029"/>
            <w:bookmarkStart w:id="8" w:name="_Toc9945315"/>
            <w:bookmarkStart w:id="9" w:name="_Toc9945456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14:paraId="32A5A2F0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174"/>
            <w:bookmarkStart w:id="11" w:name="_Toc9944750"/>
            <w:bookmarkStart w:id="12" w:name="_Toc9945457"/>
            <w:bookmarkStart w:id="13" w:name="_Toc9945316"/>
            <w:bookmarkStart w:id="14" w:name="_Toc9945030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14:paraId="3C6F140C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4751"/>
            <w:bookmarkStart w:id="16" w:name="_Toc9945175"/>
            <w:bookmarkStart w:id="17" w:name="_Toc9945317"/>
            <w:bookmarkStart w:id="18" w:name="_Toc9945458"/>
            <w:bookmarkStart w:id="19" w:name="_Toc9945031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01B01CA5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998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125E941D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0E96EBB7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46C6AA8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032"/>
            <w:bookmarkStart w:id="22" w:name="_Toc9945318"/>
            <w:bookmarkStart w:id="23" w:name="_Toc9945459"/>
            <w:bookmarkStart w:id="24" w:name="_Toc9945176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14:paraId="1C5AFFD3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319"/>
            <w:bookmarkStart w:id="26" w:name="_Toc9945033"/>
            <w:bookmarkStart w:id="27" w:name="_Toc9945177"/>
            <w:bookmarkStart w:id="28" w:name="_Toc9945460"/>
            <w:bookmarkStart w:id="29" w:name="_Toc9944753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6DB0A16C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62D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6A5223CC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338B0FE3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7185C9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178"/>
            <w:bookmarkStart w:id="32" w:name="_Toc9945461"/>
            <w:bookmarkStart w:id="33" w:name="_Toc9945034"/>
            <w:bookmarkStart w:id="34" w:name="_Toc994532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 w14:paraId="0ECE9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14:paraId="53273B59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5462"/>
            <w:bookmarkStart w:id="36" w:name="_Toc9945179"/>
            <w:bookmarkStart w:id="37" w:name="_Toc9944755"/>
            <w:bookmarkStart w:id="38" w:name="_Toc9945321"/>
            <w:bookmarkStart w:id="39" w:name="_Toc9945035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436C4DF5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CFE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B9376B8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14:paraId="09FEFF1C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14:paraId="48D5D38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468A9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74D33030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4AD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 w14:paraId="05D5F0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4FB5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62DC1DE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2060652"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 w14:paraId="542C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 w14:paraId="5E7E5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14:paraId="412CF2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C023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14:paraId="331090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3B9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7628A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60539824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5323"/>
            <w:bookmarkStart w:id="41" w:name="_Toc9945181"/>
            <w:bookmarkStart w:id="42" w:name="_Toc9945037"/>
            <w:bookmarkStart w:id="43" w:name="_Toc9945464"/>
            <w:bookmarkStart w:id="44" w:name="_Toc9944757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14:paraId="74376368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465"/>
            <w:bookmarkStart w:id="49" w:name="_Toc9945324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14:paraId="3B4537AF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466"/>
            <w:bookmarkStart w:id="51" w:name="_Toc9944759"/>
            <w:bookmarkStart w:id="52" w:name="_Toc9945183"/>
            <w:bookmarkStart w:id="53" w:name="_Toc9945325"/>
            <w:bookmarkStart w:id="54" w:name="_Toc9945039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14:paraId="68B02537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184"/>
            <w:bookmarkStart w:id="57" w:name="_Toc9945040"/>
            <w:bookmarkStart w:id="58" w:name="_Toc9945467"/>
            <w:bookmarkStart w:id="59" w:name="_Toc9945326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07CF127D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E06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7D0AE1D0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2C2635FE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28DAE8C5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041"/>
            <w:bookmarkStart w:id="61" w:name="_Toc9945468"/>
            <w:bookmarkStart w:id="62" w:name="_Toc9944761"/>
            <w:bookmarkStart w:id="63" w:name="_Toc9945327"/>
            <w:bookmarkStart w:id="64" w:name="_Toc9945185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 w14:paraId="2D97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14:paraId="3B726006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328"/>
            <w:bookmarkStart w:id="68" w:name="_Toc9945469"/>
            <w:bookmarkStart w:id="69" w:name="_Toc9945186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51231BF7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53C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491EFAEA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3BEB7A79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1D7141C8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187"/>
            <w:bookmarkStart w:id="72" w:name="_Toc9945329"/>
            <w:bookmarkStart w:id="73" w:name="_Toc9945043"/>
            <w:bookmarkStart w:id="74" w:name="_Toc994547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 w14:paraId="129AA19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14:paraId="13CE4EB1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330"/>
            <w:bookmarkStart w:id="77" w:name="_Toc9945471"/>
            <w:bookmarkStart w:id="78" w:name="_Toc9945044"/>
            <w:bookmarkStart w:id="79" w:name="_Toc9945188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43F461DD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298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 w14:paraId="30FB43C0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14:paraId="4E067F9A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14:paraId="3171C8F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4D80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503C295F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4F1A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 w14:paraId="76D644D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B68D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05EFC72A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7AF972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2F06F69"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hint="eastAsia" w:ascii="Times New Roman" w:hAnsi="Times New Roman" w:cs="Times New Roman" w:eastAsiaTheme="majorEastAsia"/>
          <w:u w:val="single"/>
        </w:rPr>
        <w:t>停车库、设备用房、人防工程</w:t>
      </w:r>
      <w:r>
        <w:rPr>
          <w:rFonts w:ascii="Times New Roman" w:hAnsi="Times New Roman" w:cs="Times New Roman" w:eastAsiaTheme="majorEastAsia"/>
          <w:u w:val="single"/>
        </w:rPr>
        <w:t xml:space="preserve">    </w:t>
      </w:r>
    </w:p>
    <w:p w14:paraId="0E12FAE2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9600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5250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48291CBD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3600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14850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6FF06132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50</w:t>
      </w:r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>%</w:t>
      </w:r>
    </w:p>
    <w:p w14:paraId="72265516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40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%</w:t>
      </w:r>
    </w:p>
    <w:p w14:paraId="65D207E1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hint="eastAsia" w:ascii="Times New Roman" w:hAnsi="Times New Roman" w:cs="Times New Roman" w:eastAsiaTheme="majorEastAsia"/>
          <w:lang w:val="en-US" w:eastAsia="zh-CN"/>
        </w:rPr>
        <w:t>30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%  </w:t>
      </w:r>
    </w:p>
    <w:p w14:paraId="2B5076D1"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EC0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FA68A35">
            <w:pPr>
              <w:ind w:firstLine="3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本项目地下空间主要功能包括机动车库、设备用房及风雨操场等。其中，机动车库设置于场区绿地地下及主楼地下，有效方便居民出行并节约土地资源；地下设备用房集中布置了变配电室、消防水池泵房及生活水泵房等，保障建筑运行；此外还设有风雨操场，丰富了地下空间的使用功能。</w:t>
            </w:r>
            <w:bookmarkStart w:id="80" w:name="_GoBack"/>
            <w:bookmarkEnd w:id="80"/>
          </w:p>
        </w:tc>
      </w:tr>
    </w:tbl>
    <w:p w14:paraId="0D71C8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CF7E6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BE28C60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 w14:paraId="2480EBF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 w14:paraId="2223DCDD"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 w14:paraId="612A82B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95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BC2BA1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9AF94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7AC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 w14:paraId="10F5DE5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 w14:paraId="6B42585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 w14:paraId="12E4E8F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 w14:paraId="7C47561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 w14:paraId="0BDE02EA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 w14:paraId="7407DE6C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 w14:paraId="1DF45B5B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 w14:paraId="1CEBF32D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 w14:paraId="1672C3D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 w14:paraId="3D17F4F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 w14:paraId="4FD10197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532</Characters>
  <Lines>5</Lines>
  <Paragraphs>1</Paragraphs>
  <TotalTime>8</TotalTime>
  <ScaleCrop>false</ScaleCrop>
  <LinksUpToDate>false</LinksUpToDate>
  <CharactersWithSpaces>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宋鑫</cp:lastModifiedBy>
  <dcterms:modified xsi:type="dcterms:W3CDTF">2026-03-28T11:29:25Z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301D3E2967484F23843D8CB7CAA4FAA8_12</vt:lpwstr>
  </property>
</Properties>
</file>